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color w:val="auto"/>
          <w:sz w:val="20"/>
          <w:highlight w:val="none"/>
        </w:rPr>
      </w:pPr>
    </w:p>
    <w:p>
      <w:pPr>
        <w:pStyle w:val="14"/>
        <w:rPr>
          <w:rFonts w:ascii="Times New Roman"/>
          <w:color w:val="auto"/>
          <w:sz w:val="20"/>
          <w:highlight w:val="none"/>
        </w:rPr>
      </w:pPr>
    </w:p>
    <w:p>
      <w:pPr>
        <w:pStyle w:val="14"/>
        <w:spacing w:before="2"/>
        <w:rPr>
          <w:rFonts w:ascii="Times New Roman"/>
          <w:color w:val="auto"/>
          <w:sz w:val="23"/>
          <w:highlight w:val="none"/>
        </w:rPr>
      </w:pPr>
    </w:p>
    <w:p>
      <w:pPr>
        <w:spacing w:before="32" w:line="244" w:lineRule="auto"/>
        <w:ind w:left="679" w:right="672" w:firstLine="0"/>
        <w:jc w:val="center"/>
        <w:rPr>
          <w:rFonts w:hint="eastAsia" w:eastAsia="宋体"/>
          <w:b/>
          <w:color w:val="auto"/>
          <w:sz w:val="48"/>
          <w:highlight w:val="none"/>
          <w:lang w:val="en-US" w:eastAsia="zh-CN"/>
        </w:rPr>
      </w:pPr>
      <w:r>
        <w:rPr>
          <w:rFonts w:hint="eastAsia"/>
          <w:b/>
          <w:color w:val="auto"/>
          <w:w w:val="95"/>
          <w:sz w:val="44"/>
          <w:szCs w:val="44"/>
          <w:highlight w:val="none"/>
          <w:lang w:eastAsia="zh-CN"/>
        </w:rPr>
        <w:t>云安区生猪产业园—优质生猪标准化规模养殖基地项目</w:t>
      </w:r>
    </w:p>
    <w:p>
      <w:pPr>
        <w:rPr>
          <w:rFonts w:hint="eastAsia"/>
          <w:color w:val="auto"/>
          <w:highlight w:val="none"/>
          <w:lang w:eastAsia="zh-CN"/>
        </w:rPr>
      </w:pPr>
    </w:p>
    <w:p>
      <w:pPr>
        <w:pStyle w:val="14"/>
        <w:rPr>
          <w:b/>
          <w:color w:val="auto"/>
          <w:sz w:val="48"/>
          <w:highlight w:val="none"/>
        </w:rPr>
      </w:pPr>
    </w:p>
    <w:p>
      <w:pPr>
        <w:pStyle w:val="14"/>
        <w:rPr>
          <w:b/>
          <w:color w:val="auto"/>
          <w:sz w:val="48"/>
          <w:highlight w:val="none"/>
        </w:rPr>
      </w:pPr>
    </w:p>
    <w:p>
      <w:pPr>
        <w:pStyle w:val="14"/>
        <w:spacing w:before="12"/>
        <w:rPr>
          <w:b/>
          <w:color w:val="auto"/>
          <w:sz w:val="56"/>
          <w:highlight w:val="none"/>
        </w:rPr>
      </w:pPr>
    </w:p>
    <w:p>
      <w:pPr>
        <w:spacing w:before="0"/>
        <w:ind w:left="0" w:right="285" w:firstLine="0"/>
        <w:jc w:val="center"/>
        <w:rPr>
          <w:rFonts w:hint="eastAsia" w:ascii="黑体" w:eastAsia="黑体"/>
          <w:color w:val="auto"/>
          <w:sz w:val="84"/>
          <w:highlight w:val="none"/>
        </w:rPr>
      </w:pPr>
      <w:r>
        <w:rPr>
          <w:rFonts w:hint="eastAsia" w:ascii="黑体" w:eastAsia="黑体"/>
          <w:color w:val="auto"/>
          <w:sz w:val="84"/>
          <w:highlight w:val="none"/>
        </w:rPr>
        <w:t>施工招标文件</w:t>
      </w:r>
    </w:p>
    <w:p>
      <w:pPr>
        <w:pStyle w:val="14"/>
        <w:rPr>
          <w:rFonts w:ascii="黑体"/>
          <w:color w:val="auto"/>
          <w:sz w:val="84"/>
          <w:highlight w:val="none"/>
        </w:rPr>
      </w:pPr>
    </w:p>
    <w:p>
      <w:pPr>
        <w:pStyle w:val="14"/>
        <w:rPr>
          <w:rFonts w:ascii="黑体"/>
          <w:color w:val="auto"/>
          <w:sz w:val="84"/>
          <w:highlight w:val="none"/>
        </w:rPr>
      </w:pPr>
    </w:p>
    <w:p>
      <w:pPr>
        <w:pStyle w:val="14"/>
        <w:spacing w:before="2"/>
        <w:rPr>
          <w:rFonts w:ascii="黑体"/>
          <w:color w:val="auto"/>
          <w:sz w:val="68"/>
          <w:highlight w:val="none"/>
        </w:rPr>
      </w:pPr>
    </w:p>
    <w:p>
      <w:pPr>
        <w:pStyle w:val="7"/>
        <w:tabs>
          <w:tab w:val="left" w:pos="2310"/>
          <w:tab w:val="left" w:pos="3013"/>
        </w:tabs>
        <w:ind w:left="1609"/>
        <w:rPr>
          <w:color w:val="auto"/>
          <w:highlight w:val="none"/>
        </w:rPr>
      </w:pPr>
      <w:r>
        <w:rPr>
          <w:color w:val="auto"/>
          <w:highlight w:val="none"/>
        </w:rPr>
        <w:t>招</w:t>
      </w:r>
      <w:r>
        <w:rPr>
          <w:color w:val="auto"/>
          <w:highlight w:val="none"/>
        </w:rPr>
        <w:tab/>
      </w:r>
      <w:r>
        <w:rPr>
          <w:color w:val="auto"/>
          <w:highlight w:val="none"/>
        </w:rPr>
        <w:t>标</w:t>
      </w:r>
      <w:r>
        <w:rPr>
          <w:color w:val="auto"/>
          <w:highlight w:val="none"/>
        </w:rPr>
        <w:tab/>
      </w:r>
      <w:r>
        <w:rPr>
          <w:color w:val="auto"/>
          <w:spacing w:val="-1"/>
          <w:w w:val="95"/>
          <w:highlight w:val="none"/>
        </w:rPr>
        <w:t>人：</w:t>
      </w:r>
      <w:r>
        <w:rPr>
          <w:rFonts w:hint="eastAsia"/>
          <w:color w:val="auto"/>
          <w:spacing w:val="-1"/>
          <w:w w:val="95"/>
          <w:highlight w:val="none"/>
          <w:u w:val="single"/>
          <w:lang w:eastAsia="zh-CN"/>
        </w:rPr>
        <w:t>云浮美神养殖有限公司</w:t>
      </w:r>
      <w:r>
        <w:rPr>
          <w:color w:val="auto"/>
          <w:w w:val="95"/>
          <w:highlight w:val="none"/>
        </w:rPr>
        <w:t>（盖章）</w:t>
      </w:r>
    </w:p>
    <w:p>
      <w:pPr>
        <w:pStyle w:val="14"/>
        <w:spacing w:before="9"/>
        <w:rPr>
          <w:b/>
          <w:color w:val="auto"/>
          <w:sz w:val="20"/>
          <w:highlight w:val="none"/>
        </w:rPr>
      </w:pPr>
    </w:p>
    <w:p>
      <w:pPr>
        <w:pStyle w:val="7"/>
        <w:tabs>
          <w:tab w:val="left" w:pos="7223"/>
        </w:tabs>
        <w:spacing w:line="417" w:lineRule="auto"/>
        <w:ind w:left="1609" w:right="1252"/>
        <w:rPr>
          <w:color w:val="auto"/>
          <w:highlight w:val="none"/>
        </w:rPr>
      </w:pPr>
      <w:r>
        <w:rPr>
          <w:color w:val="auto"/>
          <w:highlight w:val="none"/>
        </w:rPr>
        <w:t>法定代表人或其委托代理人：</w:t>
      </w:r>
      <w:r>
        <w:rPr>
          <w:color w:val="auto"/>
          <w:highlight w:val="none"/>
          <w:u w:val="single"/>
        </w:rPr>
        <w:t xml:space="preserve"> </w:t>
      </w:r>
      <w:r>
        <w:rPr>
          <w:color w:val="auto"/>
          <w:highlight w:val="none"/>
          <w:u w:val="single"/>
        </w:rPr>
        <w:tab/>
      </w:r>
      <w:r>
        <w:rPr>
          <w:color w:val="auto"/>
          <w:highlight w:val="none"/>
        </w:rPr>
        <w:t>（签字或盖章</w:t>
      </w:r>
      <w:r>
        <w:rPr>
          <w:color w:val="auto"/>
          <w:spacing w:val="-13"/>
          <w:highlight w:val="none"/>
        </w:rPr>
        <w:t xml:space="preserve">） </w:t>
      </w:r>
      <w:r>
        <w:rPr>
          <w:color w:val="auto"/>
          <w:highlight w:val="none"/>
        </w:rPr>
        <w:t>招标代理机</w:t>
      </w:r>
      <w:r>
        <w:rPr>
          <w:color w:val="auto"/>
          <w:spacing w:val="-3"/>
          <w:highlight w:val="none"/>
        </w:rPr>
        <w:t>构</w:t>
      </w:r>
      <w:r>
        <w:rPr>
          <w:color w:val="auto"/>
          <w:highlight w:val="none"/>
        </w:rPr>
        <w:t>:</w:t>
      </w:r>
      <w:r>
        <w:rPr>
          <w:color w:val="auto"/>
          <w:spacing w:val="-1"/>
          <w:highlight w:val="none"/>
        </w:rPr>
        <w:t xml:space="preserve"> </w:t>
      </w:r>
      <w:r>
        <w:rPr>
          <w:rFonts w:hint="eastAsia"/>
          <w:color w:val="auto"/>
          <w:highlight w:val="none"/>
          <w:u w:val="single"/>
          <w:lang w:eastAsia="zh-CN"/>
        </w:rPr>
        <w:t>广东晓君项目管理有限公司</w:t>
      </w:r>
      <w:r>
        <w:rPr>
          <w:color w:val="auto"/>
          <w:highlight w:val="none"/>
        </w:rPr>
        <w:t>（盖章）</w:t>
      </w:r>
    </w:p>
    <w:p>
      <w:pPr>
        <w:pStyle w:val="7"/>
        <w:tabs>
          <w:tab w:val="left" w:pos="7223"/>
        </w:tabs>
        <w:spacing w:line="417" w:lineRule="auto"/>
        <w:ind w:left="1609" w:right="1252"/>
        <w:rPr>
          <w:color w:val="auto"/>
          <w:highlight w:val="none"/>
        </w:rPr>
      </w:pPr>
      <w:r>
        <w:rPr>
          <w:color w:val="auto"/>
          <w:highlight w:val="none"/>
        </w:rPr>
        <w:t>法定代表人或其委托代理人：</w:t>
      </w:r>
      <w:r>
        <w:rPr>
          <w:color w:val="auto"/>
          <w:highlight w:val="none"/>
          <w:u w:val="single"/>
        </w:rPr>
        <w:t xml:space="preserve"> </w:t>
      </w:r>
      <w:r>
        <w:rPr>
          <w:color w:val="auto"/>
          <w:highlight w:val="none"/>
          <w:u w:val="single"/>
        </w:rPr>
        <w:tab/>
      </w:r>
      <w:r>
        <w:rPr>
          <w:color w:val="auto"/>
          <w:highlight w:val="none"/>
        </w:rPr>
        <w:t>（签字或盖章）</w:t>
      </w:r>
    </w:p>
    <w:p>
      <w:pPr>
        <w:pStyle w:val="14"/>
        <w:rPr>
          <w:b/>
          <w:color w:val="auto"/>
          <w:sz w:val="30"/>
          <w:highlight w:val="none"/>
        </w:rPr>
      </w:pPr>
    </w:p>
    <w:p>
      <w:pPr>
        <w:pStyle w:val="7"/>
        <w:spacing w:before="225"/>
        <w:ind w:left="0" w:right="471"/>
        <w:jc w:val="center"/>
        <w:rPr>
          <w:rFonts w:hint="eastAsia" w:eastAsia="宋体"/>
          <w:color w:val="auto"/>
          <w:highlight w:val="none"/>
          <w:lang w:eastAsia="zh-CN"/>
        </w:rPr>
      </w:pP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lang w:eastAsia="zh-CN"/>
        </w:rPr>
        <w:t>年</w:t>
      </w:r>
      <w:r>
        <w:rPr>
          <w:rFonts w:hint="eastAsia"/>
          <w:color w:val="auto"/>
          <w:highlight w:val="none"/>
          <w:lang w:val="en-US" w:eastAsia="zh-CN"/>
        </w:rPr>
        <w:t>8</w:t>
      </w:r>
      <w:r>
        <w:rPr>
          <w:rFonts w:hint="eastAsia"/>
          <w:color w:val="auto"/>
          <w:highlight w:val="none"/>
          <w:lang w:eastAsia="zh-CN"/>
        </w:rPr>
        <w:t>月</w:t>
      </w:r>
    </w:p>
    <w:p>
      <w:pPr>
        <w:spacing w:after="0"/>
        <w:jc w:val="center"/>
        <w:rPr>
          <w:color w:val="auto"/>
          <w:highlight w:val="none"/>
        </w:rPr>
        <w:sectPr>
          <w:type w:val="continuous"/>
          <w:pgSz w:w="11910" w:h="16840"/>
          <w:pgMar w:top="1580" w:right="600" w:bottom="280" w:left="860" w:header="720" w:footer="720" w:gutter="0"/>
          <w:pgBorders>
            <w:top w:val="none" w:sz="0" w:space="0"/>
            <w:left w:val="none" w:sz="0" w:space="0"/>
            <w:bottom w:val="none" w:sz="0" w:space="0"/>
            <w:right w:val="none" w:sz="0" w:space="0"/>
          </w:pgBorders>
          <w:pgNumType w:fmt="decimal"/>
          <w:cols w:space="720" w:num="1"/>
        </w:sectPr>
      </w:pPr>
    </w:p>
    <w:p>
      <w:pPr>
        <w:spacing w:before="20"/>
        <w:ind w:left="0" w:right="284" w:firstLine="0"/>
        <w:jc w:val="center"/>
        <w:rPr>
          <w:color w:val="auto"/>
          <w:highlight w:val="none"/>
        </w:rPr>
      </w:pPr>
      <w:r>
        <w:rPr>
          <w:b/>
          <w:color w:val="auto"/>
          <w:sz w:val="36"/>
          <w:highlight w:val="none"/>
        </w:rPr>
        <w:t>目 录</w:t>
      </w:r>
    </w:p>
    <w:sdt>
      <w:sdtPr>
        <w:rPr>
          <w:rFonts w:ascii="宋体" w:hAnsi="宋体" w:eastAsia="宋体" w:cs="宋体"/>
          <w:color w:val="auto"/>
          <w:sz w:val="21"/>
          <w:szCs w:val="22"/>
          <w:highlight w:val="none"/>
          <w:lang w:val="zh-CN" w:eastAsia="zh-CN" w:bidi="zh-CN"/>
        </w:rPr>
        <w:id w:val="147481736"/>
        <w15:color w:val="DBDBDB"/>
        <w:docPartObj>
          <w:docPartGallery w:val="Table of Contents"/>
          <w:docPartUnique/>
        </w:docPartObj>
      </w:sdtPr>
      <w:sdtEndPr>
        <w:rPr>
          <w:rFonts w:ascii="宋体" w:hAnsi="宋体" w:eastAsia="宋体" w:cs="宋体"/>
          <w:color w:val="auto"/>
          <w:sz w:val="22"/>
          <w:szCs w:val="22"/>
          <w:highlight w:val="none"/>
          <w:lang w:val="zh-CN" w:eastAsia="zh-CN" w:bidi="zh-CN"/>
        </w:rPr>
      </w:sdtEndPr>
      <w:sdtContent>
        <w:p>
          <w:pPr>
            <w:spacing w:before="0" w:beforeLines="0" w:after="0" w:afterLines="0" w:line="240" w:lineRule="auto"/>
            <w:ind w:left="0" w:leftChars="0" w:right="0" w:rightChars="0" w:firstLine="0" w:firstLineChars="0"/>
            <w:jc w:val="center"/>
            <w:rPr>
              <w:color w:val="auto"/>
              <w:highlight w:val="none"/>
            </w:rPr>
          </w:pPr>
        </w:p>
        <w:p>
          <w:pPr>
            <w:pStyle w:val="37"/>
            <w:tabs>
              <w:tab w:val="right" w:leader="dot" w:pos="10450"/>
            </w:tabs>
            <w:rPr>
              <w:rFonts w:hint="eastAsia" w:ascii="宋体" w:hAnsi="宋体" w:eastAsia="宋体" w:cs="宋体"/>
              <w:b/>
              <w:bCs/>
              <w:color w:val="auto"/>
              <w:sz w:val="28"/>
              <w:szCs w:val="28"/>
              <w:highlight w:val="none"/>
            </w:rPr>
          </w:pPr>
          <w:r>
            <w:rPr>
              <w:color w:val="auto"/>
              <w:sz w:val="22"/>
              <w:highlight w:val="none"/>
            </w:rPr>
            <w:fldChar w:fldCharType="begin"/>
          </w:r>
          <w:r>
            <w:rPr>
              <w:color w:val="auto"/>
              <w:sz w:val="22"/>
              <w:highlight w:val="none"/>
            </w:rPr>
            <w:instrText xml:space="preserve">TOC \o "1-1" \h \u </w:instrText>
          </w:r>
          <w:r>
            <w:rPr>
              <w:color w:val="auto"/>
              <w:sz w:val="22"/>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_Toc7438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第一章 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_Toc7438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37"/>
            <w:tabs>
              <w:tab w:val="right" w:leader="dot" w:pos="10450"/>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_Toc31263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投标人须知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_Toc31263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37"/>
            <w:tabs>
              <w:tab w:val="right" w:leader="dot" w:pos="10450"/>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_Toc15648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评标办法（综合评估法）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_Toc15648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37"/>
            <w:tabs>
              <w:tab w:val="right" w:leader="dot" w:pos="10450"/>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_Toc3694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合同条款及格式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_Toc3694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37"/>
            <w:tabs>
              <w:tab w:val="right" w:pos="2000"/>
              <w:tab w:val="right" w:leader="dot" w:pos="10450"/>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_Toc4292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第五章</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工程清单（另</w:t>
          </w:r>
          <w:r>
            <w:rPr>
              <w:rFonts w:hint="eastAsia" w:ascii="宋体" w:hAnsi="宋体" w:eastAsia="宋体" w:cs="宋体"/>
              <w:b/>
              <w:bCs/>
              <w:color w:val="auto"/>
              <w:spacing w:val="-2"/>
              <w:sz w:val="28"/>
              <w:szCs w:val="28"/>
              <w:highlight w:val="none"/>
            </w:rPr>
            <w:t xml:space="preserve"> </w:t>
          </w:r>
          <w:r>
            <w:rPr>
              <w:rFonts w:hint="eastAsia" w:ascii="宋体" w:hAnsi="宋体" w:eastAsia="宋体" w:cs="宋体"/>
              <w:b/>
              <w:bCs/>
              <w:color w:val="auto"/>
              <w:sz w:val="28"/>
              <w:szCs w:val="28"/>
              <w:highlight w:val="none"/>
            </w:rPr>
            <w:t>册）</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_Toc4292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37"/>
            <w:tabs>
              <w:tab w:val="right" w:pos="2000"/>
              <w:tab w:val="right" w:leader="dot" w:pos="10450"/>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_Toc5999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第六章</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图</w:t>
          </w:r>
          <w:r>
            <w:rPr>
              <w:rFonts w:hint="eastAsia" w:ascii="宋体" w:hAnsi="宋体" w:eastAsia="宋体" w:cs="宋体"/>
              <w:b/>
              <w:bCs/>
              <w:color w:val="auto"/>
              <w:spacing w:val="-62"/>
              <w:sz w:val="28"/>
              <w:szCs w:val="28"/>
              <w:highlight w:val="none"/>
            </w:rPr>
            <w:t xml:space="preserve"> </w:t>
          </w:r>
          <w:r>
            <w:rPr>
              <w:rFonts w:hint="eastAsia" w:ascii="宋体" w:hAnsi="宋体" w:eastAsia="宋体" w:cs="宋体"/>
              <w:b/>
              <w:bCs/>
              <w:color w:val="auto"/>
              <w:sz w:val="28"/>
              <w:szCs w:val="28"/>
              <w:highlight w:val="none"/>
            </w:rPr>
            <w:t>纸（另</w:t>
          </w:r>
          <w:r>
            <w:rPr>
              <w:rFonts w:hint="eastAsia" w:ascii="宋体" w:hAnsi="宋体" w:eastAsia="宋体" w:cs="宋体"/>
              <w:b/>
              <w:bCs/>
              <w:color w:val="auto"/>
              <w:spacing w:val="-1"/>
              <w:sz w:val="28"/>
              <w:szCs w:val="28"/>
              <w:highlight w:val="none"/>
            </w:rPr>
            <w:t xml:space="preserve"> </w:t>
          </w:r>
          <w:r>
            <w:rPr>
              <w:rFonts w:hint="eastAsia" w:ascii="宋体" w:hAnsi="宋体" w:eastAsia="宋体" w:cs="宋体"/>
              <w:b/>
              <w:bCs/>
              <w:color w:val="auto"/>
              <w:sz w:val="28"/>
              <w:szCs w:val="28"/>
              <w:highlight w:val="none"/>
            </w:rPr>
            <w:t>册）</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_Toc5999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37"/>
            <w:tabs>
              <w:tab w:val="right" w:pos="2000"/>
              <w:tab w:val="right" w:leader="dot" w:pos="10450"/>
            </w:tabs>
            <w:rPr>
              <w:color w:val="auto"/>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_Toc22273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章</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_Toc22273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spacing w:after="0"/>
            <w:rPr>
              <w:color w:val="auto"/>
              <w:sz w:val="22"/>
              <w:highlight w:val="none"/>
            </w:rPr>
            <w:sectPr>
              <w:footerReference r:id="rId5" w:type="default"/>
              <w:pgSz w:w="11910" w:h="16840"/>
              <w:pgMar w:top="1460" w:right="600" w:bottom="1160" w:left="860" w:header="0" w:footer="979" w:gutter="0"/>
              <w:pgBorders>
                <w:top w:val="none" w:sz="0" w:space="0"/>
                <w:left w:val="none" w:sz="0" w:space="0"/>
                <w:bottom w:val="none" w:sz="0" w:space="0"/>
                <w:right w:val="none" w:sz="0" w:space="0"/>
              </w:pgBorders>
              <w:pgNumType w:fmt="decimal" w:start="1"/>
              <w:cols w:space="720" w:num="1"/>
            </w:sectPr>
          </w:pPr>
          <w:r>
            <w:rPr>
              <w:color w:val="auto"/>
              <w:highlight w:val="none"/>
            </w:rPr>
            <w:fldChar w:fldCharType="end"/>
          </w:r>
        </w:p>
      </w:sdtContent>
    </w:sdt>
    <w:p>
      <w:pPr>
        <w:pStyle w:val="3"/>
        <w:bidi w:val="0"/>
        <w:rPr>
          <w:color w:val="auto"/>
          <w:highlight w:val="none"/>
        </w:rPr>
      </w:pPr>
      <w:bookmarkStart w:id="0" w:name="_TOC_250005"/>
      <w:bookmarkEnd w:id="0"/>
      <w:r>
        <w:rPr>
          <w:color w:val="auto"/>
          <w:highlight w:val="none"/>
        </w:rPr>
        <w:t>否决投标条款一览表</w:t>
      </w:r>
    </w:p>
    <w:p>
      <w:pPr>
        <w:spacing w:line="360" w:lineRule="auto"/>
        <w:ind w:firstLine="442" w:firstLineChars="200"/>
        <w:rPr>
          <w:rFonts w:hint="eastAsia" w:ascii="宋体" w:hAnsi="宋体"/>
          <w:b/>
          <w:color w:val="auto"/>
          <w:highlight w:val="none"/>
        </w:rPr>
      </w:pPr>
      <w:r>
        <w:rPr>
          <w:rFonts w:ascii="宋体" w:hAnsi="宋体"/>
          <w:b/>
          <w:color w:val="auto"/>
          <w:highlight w:val="none"/>
        </w:rPr>
        <w:t>声明</w:t>
      </w:r>
      <w:r>
        <w:rPr>
          <w:rFonts w:hint="eastAsia" w:ascii="宋体" w:hAnsi="宋体"/>
          <w:b/>
          <w:color w:val="auto"/>
          <w:highlight w:val="none"/>
        </w:rPr>
        <w:t>：</w:t>
      </w:r>
      <w:r>
        <w:rPr>
          <w:rFonts w:ascii="宋体" w:hAnsi="宋体"/>
          <w:b/>
          <w:color w:val="auto"/>
          <w:highlight w:val="none"/>
        </w:rPr>
        <w:t>以下所列条款为本招标文件的否决投标条款一览表内容</w:t>
      </w:r>
      <w:r>
        <w:rPr>
          <w:rFonts w:hint="eastAsia" w:ascii="宋体" w:hAnsi="宋体"/>
          <w:b/>
          <w:color w:val="auto"/>
          <w:highlight w:val="none"/>
        </w:rPr>
        <w:t>，</w:t>
      </w:r>
      <w:r>
        <w:rPr>
          <w:rFonts w:ascii="宋体" w:hAnsi="宋体"/>
          <w:b/>
          <w:color w:val="auto"/>
          <w:highlight w:val="none"/>
        </w:rPr>
        <w:t>投标人应自行仔细阅读</w:t>
      </w:r>
      <w:r>
        <w:rPr>
          <w:rFonts w:hint="eastAsia" w:ascii="宋体" w:hAnsi="宋体"/>
          <w:b/>
          <w:color w:val="auto"/>
          <w:highlight w:val="none"/>
        </w:rPr>
        <w:t>，</w:t>
      </w:r>
      <w:r>
        <w:rPr>
          <w:rFonts w:ascii="宋体" w:hAnsi="宋体"/>
          <w:b/>
          <w:color w:val="auto"/>
          <w:highlight w:val="none"/>
        </w:rPr>
        <w:t>自行查阅对应条款</w:t>
      </w:r>
      <w:r>
        <w:rPr>
          <w:rFonts w:hint="eastAsia" w:ascii="宋体" w:hAnsi="宋体"/>
          <w:b/>
          <w:color w:val="auto"/>
          <w:highlight w:val="none"/>
        </w:rPr>
        <w:t>，</w:t>
      </w:r>
      <w:r>
        <w:rPr>
          <w:rFonts w:ascii="宋体" w:hAnsi="宋体"/>
          <w:b/>
          <w:color w:val="auto"/>
          <w:highlight w:val="none"/>
        </w:rPr>
        <w:t>否则责任自负</w:t>
      </w:r>
      <w:r>
        <w:rPr>
          <w:rFonts w:hint="eastAsia" w:ascii="宋体" w:hAnsi="宋体"/>
          <w:b/>
          <w:color w:val="auto"/>
          <w:highlight w:val="none"/>
        </w:rPr>
        <w:t>。</w:t>
      </w:r>
    </w:p>
    <w:tbl>
      <w:tblPr>
        <w:tblStyle w:val="2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1628"/>
        <w:gridCol w:w="6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090" w:type="dxa"/>
            <w:vAlign w:val="center"/>
          </w:tcPr>
          <w:p>
            <w:pPr>
              <w:bidi w:val="0"/>
              <w:jc w:val="center"/>
              <w:rPr>
                <w:color w:val="auto"/>
                <w:highlight w:val="none"/>
              </w:rPr>
            </w:pPr>
            <w:r>
              <w:rPr>
                <w:color w:val="auto"/>
                <w:highlight w:val="none"/>
              </w:rPr>
              <w:t>条款号</w:t>
            </w:r>
          </w:p>
        </w:tc>
        <w:tc>
          <w:tcPr>
            <w:tcW w:w="1628" w:type="dxa"/>
            <w:vAlign w:val="center"/>
          </w:tcPr>
          <w:p>
            <w:pPr>
              <w:bidi w:val="0"/>
              <w:jc w:val="center"/>
              <w:rPr>
                <w:color w:val="auto"/>
                <w:highlight w:val="none"/>
              </w:rPr>
            </w:pPr>
            <w:r>
              <w:rPr>
                <w:color w:val="auto"/>
                <w:highlight w:val="none"/>
              </w:rPr>
              <w:t>条款名称</w:t>
            </w:r>
          </w:p>
        </w:tc>
        <w:tc>
          <w:tcPr>
            <w:tcW w:w="6921" w:type="dxa"/>
            <w:vAlign w:val="center"/>
          </w:tcPr>
          <w:p>
            <w:pPr>
              <w:bidi w:val="0"/>
              <w:jc w:val="center"/>
              <w:rPr>
                <w:color w:val="auto"/>
                <w:highlight w:val="none"/>
              </w:rPr>
            </w:pPr>
            <w:r>
              <w:rPr>
                <w:color w:val="auto"/>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090" w:type="dxa"/>
            <w:vAlign w:val="center"/>
          </w:tcPr>
          <w:p>
            <w:pPr>
              <w:bidi w:val="0"/>
              <w:jc w:val="center"/>
              <w:rPr>
                <w:color w:val="auto"/>
                <w:highlight w:val="none"/>
              </w:rPr>
            </w:pPr>
            <w:r>
              <w:rPr>
                <w:color w:val="auto"/>
                <w:highlight w:val="none"/>
              </w:rPr>
              <w:t>1.4.1</w:t>
            </w:r>
          </w:p>
        </w:tc>
        <w:tc>
          <w:tcPr>
            <w:tcW w:w="1628" w:type="dxa"/>
            <w:vAlign w:val="center"/>
          </w:tcPr>
          <w:p>
            <w:pPr>
              <w:bidi w:val="0"/>
              <w:jc w:val="center"/>
              <w:rPr>
                <w:color w:val="auto"/>
                <w:highlight w:val="none"/>
              </w:rPr>
            </w:pPr>
            <w:r>
              <w:rPr>
                <w:color w:val="auto"/>
                <w:highlight w:val="none"/>
              </w:rPr>
              <w:t>投标人资质条件、能力和信誉</w:t>
            </w:r>
          </w:p>
        </w:tc>
        <w:tc>
          <w:tcPr>
            <w:tcW w:w="6921" w:type="dxa"/>
            <w:vAlign w:val="center"/>
          </w:tcPr>
          <w:p>
            <w:pPr>
              <w:pStyle w:val="29"/>
              <w:spacing w:before="123"/>
              <w:ind w:left="91" w:right="28"/>
              <w:jc w:val="both"/>
              <w:rPr>
                <w:color w:val="auto"/>
                <w:sz w:val="21"/>
                <w:highlight w:val="none"/>
              </w:rPr>
            </w:pPr>
            <w:r>
              <w:rPr>
                <w:color w:val="auto"/>
                <w:highlight w:val="none"/>
              </w:rPr>
              <w:t>详见“第二章投标人须知”中“投标人须知前附表”1.4.1的要求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090" w:type="dxa"/>
            <w:vAlign w:val="center"/>
          </w:tcPr>
          <w:p>
            <w:pPr>
              <w:bidi w:val="0"/>
              <w:jc w:val="center"/>
              <w:rPr>
                <w:color w:val="auto"/>
                <w:highlight w:val="none"/>
              </w:rPr>
            </w:pPr>
            <w:r>
              <w:rPr>
                <w:color w:val="auto"/>
                <w:highlight w:val="none"/>
              </w:rPr>
              <w:t>3.2.3</w:t>
            </w:r>
          </w:p>
        </w:tc>
        <w:tc>
          <w:tcPr>
            <w:tcW w:w="1628" w:type="dxa"/>
            <w:vAlign w:val="center"/>
          </w:tcPr>
          <w:p>
            <w:pPr>
              <w:bidi w:val="0"/>
              <w:jc w:val="center"/>
              <w:rPr>
                <w:color w:val="auto"/>
                <w:highlight w:val="none"/>
              </w:rPr>
            </w:pPr>
            <w:r>
              <w:rPr>
                <w:color w:val="auto"/>
                <w:highlight w:val="none"/>
              </w:rPr>
              <w:t>最高投标限价</w:t>
            </w:r>
          </w:p>
        </w:tc>
        <w:tc>
          <w:tcPr>
            <w:tcW w:w="6921" w:type="dxa"/>
            <w:vAlign w:val="center"/>
          </w:tcPr>
          <w:p>
            <w:pPr>
              <w:pStyle w:val="29"/>
              <w:spacing w:before="123"/>
              <w:ind w:left="91" w:right="28"/>
              <w:jc w:val="both"/>
              <w:rPr>
                <w:color w:val="auto"/>
                <w:sz w:val="21"/>
                <w:highlight w:val="none"/>
              </w:rPr>
            </w:pPr>
            <w:r>
              <w:rPr>
                <w:color w:val="auto"/>
                <w:highlight w:val="none"/>
              </w:rPr>
              <w:t>详见“第二章投标人须知”中“投标人须知前附表”3.2.3的要求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090" w:type="dxa"/>
            <w:vAlign w:val="center"/>
          </w:tcPr>
          <w:p>
            <w:pPr>
              <w:bidi w:val="0"/>
              <w:jc w:val="center"/>
              <w:rPr>
                <w:color w:val="auto"/>
                <w:highlight w:val="none"/>
              </w:rPr>
            </w:pPr>
            <w:r>
              <w:rPr>
                <w:color w:val="auto"/>
                <w:highlight w:val="none"/>
              </w:rPr>
              <w:t>3.4.1</w:t>
            </w:r>
          </w:p>
        </w:tc>
        <w:tc>
          <w:tcPr>
            <w:tcW w:w="1628" w:type="dxa"/>
            <w:vAlign w:val="center"/>
          </w:tcPr>
          <w:p>
            <w:pPr>
              <w:bidi w:val="0"/>
              <w:jc w:val="center"/>
              <w:rPr>
                <w:color w:val="auto"/>
                <w:highlight w:val="none"/>
              </w:rPr>
            </w:pPr>
            <w:r>
              <w:rPr>
                <w:color w:val="auto"/>
                <w:highlight w:val="none"/>
              </w:rPr>
              <w:t>投标保证金</w:t>
            </w:r>
          </w:p>
        </w:tc>
        <w:tc>
          <w:tcPr>
            <w:tcW w:w="6921" w:type="dxa"/>
            <w:vAlign w:val="center"/>
          </w:tcPr>
          <w:p>
            <w:pPr>
              <w:pStyle w:val="29"/>
              <w:spacing w:before="122"/>
              <w:ind w:left="91" w:right="28"/>
              <w:jc w:val="both"/>
              <w:rPr>
                <w:color w:val="auto"/>
                <w:sz w:val="21"/>
                <w:highlight w:val="none"/>
              </w:rPr>
            </w:pPr>
            <w:r>
              <w:rPr>
                <w:color w:val="auto"/>
                <w:highlight w:val="none"/>
              </w:rPr>
              <w:t>详见“第二章投标人须知”中“投标人须知前附表”3.4.1的要求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090" w:type="dxa"/>
            <w:vAlign w:val="center"/>
          </w:tcPr>
          <w:p>
            <w:pPr>
              <w:bidi w:val="0"/>
              <w:jc w:val="center"/>
              <w:rPr>
                <w:color w:val="auto"/>
                <w:highlight w:val="none"/>
              </w:rPr>
            </w:pPr>
            <w:r>
              <w:rPr>
                <w:color w:val="auto"/>
                <w:highlight w:val="none"/>
              </w:rPr>
              <w:t>3.7.3</w:t>
            </w:r>
          </w:p>
        </w:tc>
        <w:tc>
          <w:tcPr>
            <w:tcW w:w="1628" w:type="dxa"/>
            <w:vAlign w:val="center"/>
          </w:tcPr>
          <w:p>
            <w:pPr>
              <w:bidi w:val="0"/>
              <w:jc w:val="center"/>
              <w:rPr>
                <w:color w:val="auto"/>
                <w:highlight w:val="none"/>
              </w:rPr>
            </w:pPr>
            <w:r>
              <w:rPr>
                <w:color w:val="auto"/>
                <w:highlight w:val="none"/>
              </w:rPr>
              <w:t>签字或盖章要求</w:t>
            </w:r>
          </w:p>
        </w:tc>
        <w:tc>
          <w:tcPr>
            <w:tcW w:w="6921" w:type="dxa"/>
            <w:vAlign w:val="center"/>
          </w:tcPr>
          <w:p>
            <w:pPr>
              <w:pStyle w:val="29"/>
              <w:spacing w:before="122"/>
              <w:ind w:left="91" w:right="28"/>
              <w:jc w:val="both"/>
              <w:rPr>
                <w:color w:val="auto"/>
                <w:sz w:val="21"/>
                <w:highlight w:val="none"/>
              </w:rPr>
            </w:pPr>
            <w:r>
              <w:rPr>
                <w:color w:val="auto"/>
                <w:highlight w:val="none"/>
              </w:rPr>
              <w:t>详见“第二章投标人须知”中“投标人须知前附表”3.7.3的要求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090" w:type="dxa"/>
            <w:vAlign w:val="center"/>
          </w:tcPr>
          <w:p>
            <w:pPr>
              <w:bidi w:val="0"/>
              <w:jc w:val="center"/>
              <w:rPr>
                <w:color w:val="auto"/>
                <w:highlight w:val="none"/>
              </w:rPr>
            </w:pPr>
            <w:r>
              <w:rPr>
                <w:color w:val="auto"/>
                <w:highlight w:val="none"/>
              </w:rPr>
              <w:t>3.7.4</w:t>
            </w:r>
          </w:p>
        </w:tc>
        <w:tc>
          <w:tcPr>
            <w:tcW w:w="1628" w:type="dxa"/>
            <w:vAlign w:val="center"/>
          </w:tcPr>
          <w:p>
            <w:pPr>
              <w:bidi w:val="0"/>
              <w:jc w:val="center"/>
              <w:rPr>
                <w:color w:val="auto"/>
                <w:highlight w:val="none"/>
              </w:rPr>
            </w:pPr>
            <w:r>
              <w:rPr>
                <w:color w:val="auto"/>
                <w:highlight w:val="none"/>
              </w:rPr>
              <w:t>投标文件份数</w:t>
            </w:r>
          </w:p>
        </w:tc>
        <w:tc>
          <w:tcPr>
            <w:tcW w:w="6921" w:type="dxa"/>
            <w:vAlign w:val="center"/>
          </w:tcPr>
          <w:p>
            <w:pPr>
              <w:pStyle w:val="29"/>
              <w:spacing w:before="123"/>
              <w:ind w:left="91" w:right="28"/>
              <w:jc w:val="both"/>
              <w:rPr>
                <w:color w:val="auto"/>
                <w:sz w:val="21"/>
                <w:highlight w:val="none"/>
              </w:rPr>
            </w:pPr>
            <w:r>
              <w:rPr>
                <w:color w:val="auto"/>
                <w:highlight w:val="none"/>
              </w:rPr>
              <w:t>详见“第二章投标人须知”中“投标人须知前附表”3.7.4的要求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090" w:type="dxa"/>
            <w:vAlign w:val="center"/>
          </w:tcPr>
          <w:p>
            <w:pPr>
              <w:bidi w:val="0"/>
              <w:jc w:val="center"/>
              <w:rPr>
                <w:color w:val="auto"/>
                <w:highlight w:val="none"/>
              </w:rPr>
            </w:pPr>
            <w:r>
              <w:rPr>
                <w:color w:val="auto"/>
                <w:highlight w:val="none"/>
              </w:rPr>
              <w:t>3.7.5</w:t>
            </w:r>
          </w:p>
        </w:tc>
        <w:tc>
          <w:tcPr>
            <w:tcW w:w="1628" w:type="dxa"/>
            <w:vAlign w:val="center"/>
          </w:tcPr>
          <w:p>
            <w:pPr>
              <w:bidi w:val="0"/>
              <w:jc w:val="center"/>
              <w:rPr>
                <w:color w:val="auto"/>
                <w:highlight w:val="none"/>
              </w:rPr>
            </w:pPr>
            <w:r>
              <w:rPr>
                <w:color w:val="auto"/>
                <w:highlight w:val="none"/>
              </w:rPr>
              <w:t>装订要求</w:t>
            </w:r>
          </w:p>
        </w:tc>
        <w:tc>
          <w:tcPr>
            <w:tcW w:w="6921" w:type="dxa"/>
            <w:vAlign w:val="center"/>
          </w:tcPr>
          <w:p>
            <w:pPr>
              <w:pStyle w:val="29"/>
              <w:spacing w:before="125"/>
              <w:ind w:left="91" w:right="28"/>
              <w:jc w:val="both"/>
              <w:rPr>
                <w:color w:val="auto"/>
                <w:sz w:val="21"/>
                <w:highlight w:val="none"/>
              </w:rPr>
            </w:pPr>
            <w:r>
              <w:rPr>
                <w:color w:val="auto"/>
                <w:highlight w:val="none"/>
              </w:rPr>
              <w:t>详见“第二章投标人须知”中“投标人须知前附表”3.7.5的要求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1090" w:type="dxa"/>
            <w:vAlign w:val="center"/>
          </w:tcPr>
          <w:p>
            <w:pPr>
              <w:bidi w:val="0"/>
              <w:jc w:val="center"/>
              <w:rPr>
                <w:color w:val="auto"/>
                <w:highlight w:val="none"/>
              </w:rPr>
            </w:pPr>
            <w:r>
              <w:rPr>
                <w:color w:val="auto"/>
                <w:highlight w:val="none"/>
              </w:rPr>
              <w:t>5.3</w:t>
            </w:r>
          </w:p>
        </w:tc>
        <w:tc>
          <w:tcPr>
            <w:tcW w:w="1628" w:type="dxa"/>
            <w:vAlign w:val="center"/>
          </w:tcPr>
          <w:p>
            <w:pPr>
              <w:bidi w:val="0"/>
              <w:jc w:val="center"/>
              <w:rPr>
                <w:color w:val="auto"/>
                <w:highlight w:val="none"/>
              </w:rPr>
            </w:pPr>
            <w:r>
              <w:rPr>
                <w:color w:val="auto"/>
                <w:highlight w:val="none"/>
              </w:rPr>
              <w:t>建设工程招标现场提交资料</w:t>
            </w:r>
          </w:p>
          <w:p>
            <w:pPr>
              <w:bidi w:val="0"/>
              <w:jc w:val="center"/>
              <w:rPr>
                <w:color w:val="auto"/>
                <w:highlight w:val="none"/>
              </w:rPr>
            </w:pPr>
            <w:r>
              <w:rPr>
                <w:color w:val="auto"/>
                <w:highlight w:val="none"/>
              </w:rPr>
              <w:t>登记表</w:t>
            </w:r>
          </w:p>
        </w:tc>
        <w:tc>
          <w:tcPr>
            <w:tcW w:w="6921" w:type="dxa"/>
            <w:vAlign w:val="top"/>
          </w:tcPr>
          <w:p>
            <w:pPr>
              <w:pStyle w:val="29"/>
              <w:spacing w:before="2"/>
              <w:jc w:val="both"/>
              <w:rPr>
                <w:b/>
                <w:color w:val="auto"/>
                <w:sz w:val="21"/>
                <w:highlight w:val="none"/>
              </w:rPr>
            </w:pPr>
          </w:p>
          <w:p>
            <w:pPr>
              <w:pStyle w:val="29"/>
              <w:ind w:left="91" w:right="28"/>
              <w:jc w:val="both"/>
              <w:rPr>
                <w:color w:val="auto"/>
                <w:sz w:val="21"/>
                <w:highlight w:val="none"/>
              </w:rPr>
            </w:pPr>
            <w:r>
              <w:rPr>
                <w:color w:val="auto"/>
                <w:highlight w:val="none"/>
              </w:rPr>
              <w:t>详见“第二章投标人须知”中正文5.3的要求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90" w:type="dxa"/>
            <w:vAlign w:val="center"/>
          </w:tcPr>
          <w:p>
            <w:pPr>
              <w:bidi w:val="0"/>
              <w:jc w:val="center"/>
              <w:rPr>
                <w:color w:val="auto"/>
                <w:highlight w:val="none"/>
              </w:rPr>
            </w:pPr>
            <w:r>
              <w:rPr>
                <w:color w:val="auto"/>
                <w:highlight w:val="none"/>
              </w:rPr>
              <w:t>2.1.1</w:t>
            </w:r>
          </w:p>
        </w:tc>
        <w:tc>
          <w:tcPr>
            <w:tcW w:w="1628" w:type="dxa"/>
            <w:vAlign w:val="center"/>
          </w:tcPr>
          <w:p>
            <w:pPr>
              <w:bidi w:val="0"/>
              <w:jc w:val="center"/>
              <w:rPr>
                <w:color w:val="auto"/>
                <w:highlight w:val="none"/>
              </w:rPr>
            </w:pPr>
            <w:r>
              <w:rPr>
                <w:color w:val="auto"/>
                <w:highlight w:val="none"/>
              </w:rPr>
              <w:t>形式评审标准</w:t>
            </w:r>
          </w:p>
        </w:tc>
        <w:tc>
          <w:tcPr>
            <w:tcW w:w="6921" w:type="dxa"/>
          </w:tcPr>
          <w:p>
            <w:pPr>
              <w:pStyle w:val="29"/>
              <w:spacing w:before="81" w:line="310" w:lineRule="atLeast"/>
              <w:ind w:left="111" w:right="45"/>
              <w:rPr>
                <w:color w:val="auto"/>
                <w:sz w:val="21"/>
                <w:highlight w:val="none"/>
              </w:rPr>
            </w:pPr>
            <w:r>
              <w:rPr>
                <w:color w:val="auto"/>
                <w:highlight w:val="none"/>
              </w:rPr>
              <w:t>详见“第三章评标办法（综合评估法）”中评标办法前附表2.1.1形式评审标准的要求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90" w:type="dxa"/>
            <w:vAlign w:val="center"/>
          </w:tcPr>
          <w:p>
            <w:pPr>
              <w:bidi w:val="0"/>
              <w:jc w:val="center"/>
              <w:rPr>
                <w:color w:val="auto"/>
                <w:highlight w:val="none"/>
              </w:rPr>
            </w:pPr>
            <w:r>
              <w:rPr>
                <w:color w:val="auto"/>
                <w:highlight w:val="none"/>
              </w:rPr>
              <w:t>2.1.2</w:t>
            </w:r>
          </w:p>
        </w:tc>
        <w:tc>
          <w:tcPr>
            <w:tcW w:w="1628" w:type="dxa"/>
            <w:vAlign w:val="center"/>
          </w:tcPr>
          <w:p>
            <w:pPr>
              <w:bidi w:val="0"/>
              <w:jc w:val="center"/>
              <w:rPr>
                <w:color w:val="auto"/>
                <w:highlight w:val="none"/>
              </w:rPr>
            </w:pPr>
            <w:r>
              <w:rPr>
                <w:color w:val="auto"/>
                <w:highlight w:val="none"/>
              </w:rPr>
              <w:t>资格评审标准</w:t>
            </w:r>
          </w:p>
        </w:tc>
        <w:tc>
          <w:tcPr>
            <w:tcW w:w="6921" w:type="dxa"/>
          </w:tcPr>
          <w:p>
            <w:pPr>
              <w:pStyle w:val="29"/>
              <w:spacing w:before="83" w:line="310" w:lineRule="atLeast"/>
              <w:ind w:left="111" w:right="45"/>
              <w:rPr>
                <w:color w:val="auto"/>
                <w:sz w:val="21"/>
                <w:highlight w:val="none"/>
              </w:rPr>
            </w:pPr>
            <w:r>
              <w:rPr>
                <w:color w:val="auto"/>
                <w:highlight w:val="none"/>
              </w:rPr>
              <w:t>详见“第三章评标办法（综合评估法）”中评标办法前附表2.1.2资格评审标准的要求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90" w:type="dxa"/>
            <w:vAlign w:val="center"/>
          </w:tcPr>
          <w:p>
            <w:pPr>
              <w:bidi w:val="0"/>
              <w:jc w:val="center"/>
              <w:rPr>
                <w:color w:val="auto"/>
                <w:highlight w:val="none"/>
              </w:rPr>
            </w:pPr>
            <w:r>
              <w:rPr>
                <w:color w:val="auto"/>
                <w:highlight w:val="none"/>
              </w:rPr>
              <w:t>2.1.3</w:t>
            </w:r>
          </w:p>
        </w:tc>
        <w:tc>
          <w:tcPr>
            <w:tcW w:w="1628" w:type="dxa"/>
            <w:vAlign w:val="center"/>
          </w:tcPr>
          <w:p>
            <w:pPr>
              <w:bidi w:val="0"/>
              <w:jc w:val="center"/>
              <w:rPr>
                <w:color w:val="auto"/>
                <w:highlight w:val="none"/>
              </w:rPr>
            </w:pPr>
            <w:r>
              <w:rPr>
                <w:color w:val="auto"/>
                <w:highlight w:val="none"/>
              </w:rPr>
              <w:t>响应性评审标准</w:t>
            </w:r>
          </w:p>
        </w:tc>
        <w:tc>
          <w:tcPr>
            <w:tcW w:w="6921" w:type="dxa"/>
          </w:tcPr>
          <w:p>
            <w:pPr>
              <w:pStyle w:val="29"/>
              <w:spacing w:before="81" w:line="310" w:lineRule="atLeast"/>
              <w:ind w:left="111" w:right="77"/>
              <w:rPr>
                <w:color w:val="auto"/>
                <w:sz w:val="21"/>
                <w:highlight w:val="none"/>
              </w:rPr>
            </w:pPr>
            <w:r>
              <w:rPr>
                <w:color w:val="auto"/>
                <w:highlight w:val="none"/>
              </w:rPr>
              <w:t>详见“第三章评标办法（综合评估法）”中评标办法前附表2.1.3响应性评审标准的要求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090" w:type="dxa"/>
            <w:vAlign w:val="center"/>
          </w:tcPr>
          <w:p>
            <w:pPr>
              <w:bidi w:val="0"/>
              <w:jc w:val="center"/>
              <w:rPr>
                <w:color w:val="auto"/>
                <w:highlight w:val="none"/>
              </w:rPr>
            </w:pPr>
            <w:r>
              <w:rPr>
                <w:color w:val="auto"/>
                <w:highlight w:val="none"/>
              </w:rPr>
              <w:t>3.1.1</w:t>
            </w:r>
          </w:p>
        </w:tc>
        <w:tc>
          <w:tcPr>
            <w:tcW w:w="1628" w:type="dxa"/>
            <w:vAlign w:val="center"/>
          </w:tcPr>
          <w:p>
            <w:pPr>
              <w:bidi w:val="0"/>
              <w:jc w:val="center"/>
              <w:rPr>
                <w:color w:val="auto"/>
                <w:highlight w:val="none"/>
              </w:rPr>
            </w:pPr>
            <w:r>
              <w:rPr>
                <w:color w:val="auto"/>
                <w:highlight w:val="none"/>
              </w:rPr>
              <w:t>评标程序</w:t>
            </w:r>
          </w:p>
        </w:tc>
        <w:tc>
          <w:tcPr>
            <w:tcW w:w="6921" w:type="dxa"/>
          </w:tcPr>
          <w:p>
            <w:pPr>
              <w:pStyle w:val="29"/>
              <w:spacing w:before="83" w:line="310" w:lineRule="atLeast"/>
              <w:ind w:left="111" w:right="45"/>
              <w:rPr>
                <w:color w:val="auto"/>
                <w:sz w:val="21"/>
                <w:highlight w:val="none"/>
              </w:rPr>
            </w:pPr>
            <w:r>
              <w:rPr>
                <w:color w:val="auto"/>
                <w:highlight w:val="none"/>
              </w:rPr>
              <w:t>详见“第三章评标办法（综合评估法）”中“3.评审程序”中的3.1.1的要求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90" w:type="dxa"/>
            <w:vAlign w:val="center"/>
          </w:tcPr>
          <w:p>
            <w:pPr>
              <w:bidi w:val="0"/>
              <w:jc w:val="center"/>
              <w:rPr>
                <w:color w:val="auto"/>
                <w:highlight w:val="none"/>
              </w:rPr>
            </w:pPr>
            <w:r>
              <w:rPr>
                <w:color w:val="auto"/>
                <w:highlight w:val="none"/>
              </w:rPr>
              <w:t>3.1.2</w:t>
            </w:r>
          </w:p>
        </w:tc>
        <w:tc>
          <w:tcPr>
            <w:tcW w:w="1628" w:type="dxa"/>
            <w:vAlign w:val="center"/>
          </w:tcPr>
          <w:p>
            <w:pPr>
              <w:bidi w:val="0"/>
              <w:jc w:val="center"/>
              <w:rPr>
                <w:color w:val="auto"/>
                <w:highlight w:val="none"/>
              </w:rPr>
            </w:pPr>
            <w:r>
              <w:rPr>
                <w:color w:val="auto"/>
                <w:highlight w:val="none"/>
              </w:rPr>
              <w:t>评标程序</w:t>
            </w:r>
          </w:p>
        </w:tc>
        <w:tc>
          <w:tcPr>
            <w:tcW w:w="6921" w:type="dxa"/>
          </w:tcPr>
          <w:p>
            <w:pPr>
              <w:pStyle w:val="29"/>
              <w:spacing w:before="81" w:line="310" w:lineRule="atLeast"/>
              <w:ind w:left="111" w:right="45"/>
              <w:rPr>
                <w:color w:val="auto"/>
                <w:sz w:val="21"/>
                <w:highlight w:val="none"/>
              </w:rPr>
            </w:pPr>
            <w:r>
              <w:rPr>
                <w:color w:val="auto"/>
                <w:highlight w:val="none"/>
              </w:rPr>
              <w:t>详见“第三章评标办法（综合评估法）”中“3.评审程序”中的3.1.2的要求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090" w:type="dxa"/>
            <w:vAlign w:val="center"/>
          </w:tcPr>
          <w:p>
            <w:pPr>
              <w:bidi w:val="0"/>
              <w:jc w:val="center"/>
              <w:rPr>
                <w:color w:val="auto"/>
                <w:highlight w:val="none"/>
              </w:rPr>
            </w:pPr>
            <w:r>
              <w:rPr>
                <w:color w:val="auto"/>
                <w:highlight w:val="none"/>
              </w:rPr>
              <w:t>3.1.3</w:t>
            </w:r>
          </w:p>
        </w:tc>
        <w:tc>
          <w:tcPr>
            <w:tcW w:w="1628" w:type="dxa"/>
            <w:vAlign w:val="center"/>
          </w:tcPr>
          <w:p>
            <w:pPr>
              <w:bidi w:val="0"/>
              <w:jc w:val="center"/>
              <w:rPr>
                <w:color w:val="auto"/>
                <w:highlight w:val="none"/>
              </w:rPr>
            </w:pPr>
            <w:r>
              <w:rPr>
                <w:color w:val="auto"/>
                <w:highlight w:val="none"/>
              </w:rPr>
              <w:t>评标程序</w:t>
            </w:r>
          </w:p>
        </w:tc>
        <w:tc>
          <w:tcPr>
            <w:tcW w:w="6921" w:type="dxa"/>
          </w:tcPr>
          <w:p>
            <w:pPr>
              <w:pStyle w:val="29"/>
              <w:spacing w:before="83" w:line="310" w:lineRule="atLeast"/>
              <w:ind w:left="111" w:right="45"/>
              <w:rPr>
                <w:color w:val="auto"/>
                <w:sz w:val="21"/>
                <w:highlight w:val="none"/>
              </w:rPr>
            </w:pPr>
            <w:r>
              <w:rPr>
                <w:color w:val="auto"/>
                <w:highlight w:val="none"/>
              </w:rPr>
              <w:t>详见“第三章评标办法（综合评估法）”中“3.评审程序”中的3.1.3的要求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90" w:type="dxa"/>
            <w:vAlign w:val="center"/>
          </w:tcPr>
          <w:p>
            <w:pPr>
              <w:bidi w:val="0"/>
              <w:jc w:val="center"/>
              <w:rPr>
                <w:color w:val="auto"/>
                <w:highlight w:val="none"/>
              </w:rPr>
            </w:pPr>
            <w:r>
              <w:rPr>
                <w:color w:val="auto"/>
                <w:highlight w:val="none"/>
              </w:rPr>
              <w:t>3.1.4</w:t>
            </w:r>
          </w:p>
        </w:tc>
        <w:tc>
          <w:tcPr>
            <w:tcW w:w="1628" w:type="dxa"/>
            <w:vAlign w:val="center"/>
          </w:tcPr>
          <w:p>
            <w:pPr>
              <w:bidi w:val="0"/>
              <w:jc w:val="center"/>
              <w:rPr>
                <w:color w:val="auto"/>
                <w:highlight w:val="none"/>
              </w:rPr>
            </w:pPr>
            <w:r>
              <w:rPr>
                <w:color w:val="auto"/>
                <w:highlight w:val="none"/>
              </w:rPr>
              <w:t>评标程序</w:t>
            </w:r>
          </w:p>
        </w:tc>
        <w:tc>
          <w:tcPr>
            <w:tcW w:w="6921" w:type="dxa"/>
          </w:tcPr>
          <w:p>
            <w:pPr>
              <w:pStyle w:val="29"/>
              <w:spacing w:before="81" w:line="310" w:lineRule="atLeast"/>
              <w:ind w:left="111" w:right="45"/>
              <w:rPr>
                <w:color w:val="auto"/>
                <w:sz w:val="21"/>
                <w:highlight w:val="none"/>
              </w:rPr>
            </w:pPr>
            <w:r>
              <w:rPr>
                <w:color w:val="auto"/>
                <w:highlight w:val="none"/>
              </w:rPr>
              <w:t>详见“第三章评标办法（综合评估法）”中“3.评审程序”中的3.1.4的要求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90" w:type="dxa"/>
            <w:vAlign w:val="center"/>
          </w:tcPr>
          <w:p>
            <w:pPr>
              <w:bidi w:val="0"/>
              <w:jc w:val="center"/>
              <w:rPr>
                <w:color w:val="auto"/>
                <w:highlight w:val="none"/>
              </w:rPr>
            </w:pPr>
            <w:r>
              <w:rPr>
                <w:color w:val="auto"/>
                <w:highlight w:val="none"/>
              </w:rPr>
              <w:t>3.1.5</w:t>
            </w:r>
          </w:p>
        </w:tc>
        <w:tc>
          <w:tcPr>
            <w:tcW w:w="1628" w:type="dxa"/>
            <w:vAlign w:val="center"/>
          </w:tcPr>
          <w:p>
            <w:pPr>
              <w:bidi w:val="0"/>
              <w:jc w:val="center"/>
              <w:rPr>
                <w:color w:val="auto"/>
                <w:highlight w:val="none"/>
              </w:rPr>
            </w:pPr>
            <w:r>
              <w:rPr>
                <w:color w:val="auto"/>
                <w:highlight w:val="none"/>
              </w:rPr>
              <w:t>评标程序</w:t>
            </w:r>
          </w:p>
        </w:tc>
        <w:tc>
          <w:tcPr>
            <w:tcW w:w="6921" w:type="dxa"/>
          </w:tcPr>
          <w:p>
            <w:pPr>
              <w:pStyle w:val="29"/>
              <w:spacing w:before="81" w:line="310" w:lineRule="atLeast"/>
              <w:ind w:left="111" w:right="45"/>
              <w:rPr>
                <w:color w:val="auto"/>
                <w:sz w:val="21"/>
                <w:highlight w:val="none"/>
              </w:rPr>
            </w:pPr>
            <w:r>
              <w:rPr>
                <w:color w:val="auto"/>
                <w:highlight w:val="none"/>
              </w:rPr>
              <w:t>详见“第三章评标办法（综合评估法）”中“3.评审程序”中的3.1.5的要求</w:t>
            </w:r>
          </w:p>
        </w:tc>
      </w:tr>
    </w:tbl>
    <w:p>
      <w:pPr>
        <w:spacing w:line="360" w:lineRule="auto"/>
        <w:ind w:firstLine="442" w:firstLineChars="200"/>
        <w:rPr>
          <w:rFonts w:hint="eastAsia" w:ascii="宋体" w:hAnsi="宋体"/>
          <w:b/>
          <w:color w:val="auto"/>
          <w:highlight w:val="none"/>
        </w:rPr>
      </w:pPr>
    </w:p>
    <w:p>
      <w:pPr>
        <w:spacing w:line="360" w:lineRule="auto"/>
        <w:ind w:firstLine="442" w:firstLineChars="200"/>
        <w:rPr>
          <w:rFonts w:hint="eastAsia" w:ascii="宋体" w:hAnsi="宋体"/>
          <w:b/>
          <w:color w:val="auto"/>
          <w:highlight w:val="none"/>
        </w:rPr>
      </w:pPr>
    </w:p>
    <w:p>
      <w:pPr>
        <w:spacing w:line="360" w:lineRule="auto"/>
        <w:ind w:firstLine="442" w:firstLineChars="200"/>
        <w:rPr>
          <w:rFonts w:hint="eastAsia" w:ascii="宋体" w:hAnsi="宋体"/>
          <w:b/>
          <w:color w:val="auto"/>
          <w:highlight w:val="none"/>
        </w:rPr>
      </w:pPr>
    </w:p>
    <w:p>
      <w:pPr>
        <w:spacing w:line="360" w:lineRule="auto"/>
        <w:ind w:firstLine="442" w:firstLineChars="200"/>
        <w:rPr>
          <w:rFonts w:hint="eastAsia" w:ascii="宋体" w:hAnsi="宋体"/>
          <w:b/>
          <w:color w:val="auto"/>
          <w:highlight w:val="none"/>
        </w:rPr>
      </w:pPr>
    </w:p>
    <w:p>
      <w:pPr>
        <w:spacing w:line="360" w:lineRule="auto"/>
        <w:ind w:firstLine="442" w:firstLineChars="200"/>
        <w:rPr>
          <w:rFonts w:hint="eastAsia" w:ascii="宋体" w:hAnsi="宋体"/>
          <w:b/>
          <w:color w:val="auto"/>
          <w:highlight w:val="none"/>
        </w:rPr>
      </w:pPr>
    </w:p>
    <w:p>
      <w:pPr>
        <w:spacing w:line="360" w:lineRule="auto"/>
        <w:ind w:firstLine="442" w:firstLineChars="200"/>
        <w:rPr>
          <w:rFonts w:hint="eastAsia" w:ascii="宋体" w:hAnsi="宋体"/>
          <w:b/>
          <w:color w:val="auto"/>
          <w:highlight w:val="none"/>
        </w:rPr>
      </w:pPr>
    </w:p>
    <w:p>
      <w:pPr>
        <w:spacing w:line="360" w:lineRule="auto"/>
        <w:ind w:firstLine="442" w:firstLineChars="200"/>
        <w:rPr>
          <w:rFonts w:hint="eastAsia" w:ascii="宋体" w:hAnsi="宋体"/>
          <w:b/>
          <w:color w:val="auto"/>
          <w:highlight w:val="none"/>
        </w:rPr>
      </w:pPr>
    </w:p>
    <w:p>
      <w:pPr>
        <w:pStyle w:val="3"/>
        <w:spacing w:before="28"/>
        <w:ind w:right="281"/>
        <w:outlineLvl w:val="0"/>
        <w:rPr>
          <w:color w:val="auto"/>
          <w:highlight w:val="none"/>
        </w:rPr>
      </w:pPr>
      <w:bookmarkStart w:id="1" w:name="_Toc7438"/>
      <w:r>
        <w:rPr>
          <w:color w:val="auto"/>
          <w:highlight w:val="none"/>
        </w:rPr>
        <w:t>第一章 招标公告</w:t>
      </w:r>
      <w:bookmarkEnd w:id="1"/>
    </w:p>
    <w:p>
      <w:pPr>
        <w:pStyle w:val="14"/>
        <w:spacing w:before="12"/>
        <w:rPr>
          <w:b/>
          <w:color w:val="auto"/>
          <w:sz w:val="36"/>
          <w:highlight w:val="none"/>
        </w:rPr>
      </w:pPr>
    </w:p>
    <w:p>
      <w:pPr>
        <w:spacing w:before="0"/>
        <w:ind w:left="0" w:right="277" w:firstLine="0"/>
        <w:jc w:val="center"/>
        <w:rPr>
          <w:b/>
          <w:color w:val="auto"/>
          <w:sz w:val="32"/>
          <w:highlight w:val="none"/>
        </w:rPr>
      </w:pPr>
      <w:r>
        <w:rPr>
          <w:rFonts w:hint="eastAsia"/>
          <w:b/>
          <w:color w:val="auto"/>
          <w:sz w:val="32"/>
          <w:highlight w:val="none"/>
          <w:lang w:eastAsia="zh-CN"/>
        </w:rPr>
        <w:t>云安区生猪产业园—优质生猪标准化规模养殖基地项目</w:t>
      </w:r>
      <w:r>
        <w:rPr>
          <w:b/>
          <w:color w:val="auto"/>
          <w:sz w:val="32"/>
          <w:highlight w:val="none"/>
        </w:rPr>
        <w:t>招标公告</w:t>
      </w:r>
    </w:p>
    <w:p>
      <w:pPr>
        <w:pStyle w:val="14"/>
        <w:spacing w:before="11"/>
        <w:rPr>
          <w:b/>
          <w:color w:val="auto"/>
          <w:sz w:val="38"/>
          <w:highlight w:val="none"/>
        </w:rPr>
      </w:pP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b/>
          <w:bCs/>
          <w:color w:val="auto"/>
          <w:sz w:val="24"/>
          <w:szCs w:val="24"/>
          <w:highlight w:val="none"/>
        </w:rPr>
      </w:pPr>
      <w:r>
        <w:rPr>
          <w:b/>
          <w:bCs/>
          <w:color w:val="auto"/>
          <w:sz w:val="24"/>
          <w:szCs w:val="24"/>
          <w:highlight w:val="none"/>
        </w:rPr>
        <w:t>招标条件</w:t>
      </w:r>
    </w:p>
    <w:p>
      <w:pPr>
        <w:pStyle w:val="14"/>
        <w:keepNext w:val="0"/>
        <w:keepLines w:val="0"/>
        <w:pageBreakBefore w:val="0"/>
        <w:kinsoku/>
        <w:wordWrap/>
        <w:overflowPunct/>
        <w:topLinePunct w:val="0"/>
        <w:autoSpaceDE w:val="0"/>
        <w:autoSpaceDN w:val="0"/>
        <w:bidi w:val="0"/>
        <w:adjustRightInd/>
        <w:snapToGrid/>
        <w:spacing w:before="179" w:line="500" w:lineRule="exact"/>
        <w:ind w:left="671" w:right="955" w:firstLine="420"/>
        <w:jc w:val="both"/>
        <w:textAlignment w:val="auto"/>
        <w:rPr>
          <w:color w:val="auto"/>
          <w:highlight w:val="none"/>
        </w:rPr>
      </w:pPr>
      <w:r>
        <w:rPr>
          <w:color w:val="auto"/>
          <w:highlight w:val="none"/>
        </w:rPr>
        <w:t>本招标项目</w:t>
      </w:r>
      <w:r>
        <w:rPr>
          <w:rFonts w:hint="eastAsia"/>
          <w:color w:val="auto"/>
          <w:highlight w:val="none"/>
          <w:lang w:eastAsia="zh-CN"/>
        </w:rPr>
        <w:t>云安区生猪产业园—优质生猪标准化规模养殖基地项目</w:t>
      </w:r>
      <w:r>
        <w:rPr>
          <w:color w:val="auto"/>
          <w:highlight w:val="none"/>
        </w:rPr>
        <w:t>已由</w:t>
      </w:r>
      <w:r>
        <w:rPr>
          <w:rFonts w:hint="eastAsia"/>
          <w:color w:val="auto"/>
          <w:highlight w:val="none"/>
          <w:lang w:eastAsia="zh-CN"/>
        </w:rPr>
        <w:t>云浮美神养殖有限公司</w:t>
      </w:r>
      <w:r>
        <w:rPr>
          <w:color w:val="auto"/>
          <w:highlight w:val="none"/>
        </w:rPr>
        <w:t>批准建设，项目业主为</w:t>
      </w:r>
      <w:r>
        <w:rPr>
          <w:rFonts w:hint="eastAsia"/>
          <w:color w:val="auto"/>
          <w:highlight w:val="none"/>
          <w:lang w:eastAsia="zh-CN"/>
        </w:rPr>
        <w:t>云浮美神养殖有限公司</w:t>
      </w:r>
      <w:r>
        <w:rPr>
          <w:color w:val="auto"/>
          <w:highlight w:val="none"/>
        </w:rPr>
        <w:t>，资金来源</w:t>
      </w:r>
      <w:r>
        <w:rPr>
          <w:rFonts w:hint="eastAsia"/>
          <w:color w:val="auto"/>
          <w:highlight w:val="none"/>
          <w:lang w:val="en-US" w:eastAsia="zh-CN"/>
        </w:rPr>
        <w:t>通过</w:t>
      </w:r>
      <w:r>
        <w:rPr>
          <w:rFonts w:hint="eastAsia"/>
          <w:color w:val="auto"/>
          <w:highlight w:val="none"/>
        </w:rPr>
        <w:t>自有资金方式</w:t>
      </w:r>
      <w:r>
        <w:rPr>
          <w:color w:val="auto"/>
          <w:highlight w:val="none"/>
        </w:rPr>
        <w:t>并已落实。项目已具备招标条件，现对该项目的施工进行公开招标。</w:t>
      </w: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b/>
          <w:bCs/>
          <w:color w:val="auto"/>
          <w:sz w:val="24"/>
          <w:szCs w:val="24"/>
          <w:highlight w:val="none"/>
        </w:rPr>
      </w:pPr>
      <w:r>
        <w:rPr>
          <w:b/>
          <w:bCs/>
          <w:color w:val="auto"/>
          <w:sz w:val="24"/>
          <w:szCs w:val="24"/>
          <w:highlight w:val="none"/>
        </w:rPr>
        <w:t>项目概况与招标范围</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178" w:after="0" w:line="500" w:lineRule="exact"/>
        <w:ind w:left="1511" w:right="0" w:hanging="421"/>
        <w:jc w:val="both"/>
        <w:textAlignment w:val="auto"/>
        <w:rPr>
          <w:color w:val="auto"/>
          <w:highlight w:val="none"/>
        </w:rPr>
      </w:pPr>
      <w:r>
        <w:rPr>
          <w:rFonts w:hint="eastAsia"/>
          <w:color w:val="auto"/>
          <w:highlight w:val="none"/>
          <w:lang w:val="en-US" w:eastAsia="zh-CN"/>
        </w:rPr>
        <w:t>工程名称：</w:t>
      </w:r>
      <w:r>
        <w:rPr>
          <w:rFonts w:hint="eastAsia"/>
          <w:color w:val="auto"/>
          <w:highlight w:val="none"/>
          <w:lang w:eastAsia="zh-CN"/>
        </w:rPr>
        <w:t>云安区生猪产业园—优质生猪标准化规模养殖基地项目</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178" w:after="0" w:line="500" w:lineRule="exact"/>
        <w:ind w:left="1511" w:right="0" w:hanging="421"/>
        <w:jc w:val="both"/>
        <w:textAlignment w:val="auto"/>
        <w:rPr>
          <w:color w:val="auto"/>
          <w:highlight w:val="none"/>
        </w:rPr>
      </w:pPr>
      <w:r>
        <w:rPr>
          <w:color w:val="auto"/>
          <w:highlight w:val="none"/>
        </w:rPr>
        <w:t>建设地点：</w:t>
      </w:r>
      <w:r>
        <w:rPr>
          <w:rFonts w:hint="eastAsia"/>
          <w:color w:val="auto"/>
          <w:highlight w:val="none"/>
        </w:rPr>
        <w:t>云浮市云安区高村镇清水村南蛇坑</w:t>
      </w:r>
      <w:r>
        <w:rPr>
          <w:color w:val="auto"/>
          <w:highlight w:val="none"/>
        </w:rPr>
        <w:t>。</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0" w:after="0" w:line="500" w:lineRule="exact"/>
        <w:ind w:left="671" w:right="955" w:firstLine="420"/>
        <w:jc w:val="both"/>
        <w:textAlignment w:val="auto"/>
        <w:rPr>
          <w:color w:val="auto"/>
          <w:highlight w:val="none"/>
        </w:rPr>
      </w:pPr>
      <w:r>
        <w:rPr>
          <w:color w:val="auto"/>
          <w:highlight w:val="none"/>
        </w:rPr>
        <w:t>建设内容及规模：</w:t>
      </w:r>
      <w:r>
        <w:rPr>
          <w:rFonts w:hint="eastAsia"/>
          <w:color w:val="auto"/>
          <w:highlight w:val="none"/>
        </w:rPr>
        <w:t xml:space="preserve">建设一幢 </w:t>
      </w:r>
      <w:r>
        <w:rPr>
          <w:color w:val="auto"/>
          <w:highlight w:val="none"/>
        </w:rPr>
        <w:t>6</w:t>
      </w:r>
      <w:r>
        <w:rPr>
          <w:rFonts w:hint="eastAsia"/>
          <w:color w:val="auto"/>
          <w:highlight w:val="none"/>
        </w:rPr>
        <w:t xml:space="preserve"> 层繁殖楼，建筑面积</w:t>
      </w:r>
      <w:r>
        <w:rPr>
          <w:color w:val="auto"/>
          <w:highlight w:val="none"/>
        </w:rPr>
        <w:t>31927.24</w:t>
      </w:r>
      <w:r>
        <w:rPr>
          <w:rFonts w:hint="eastAsia"/>
          <w:color w:val="auto"/>
          <w:highlight w:val="none"/>
        </w:rPr>
        <w:t>平方米</w:t>
      </w:r>
      <w:r>
        <w:rPr>
          <w:color w:val="auto"/>
          <w:highlight w:val="none"/>
        </w:rPr>
        <w:t>。</w:t>
      </w:r>
      <w:r>
        <w:rPr>
          <w:rFonts w:hint="eastAsia"/>
          <w:color w:val="auto"/>
          <w:highlight w:val="none"/>
        </w:rPr>
        <w:t>本项目招标控制价为</w:t>
      </w:r>
      <w:r>
        <w:rPr>
          <w:rFonts w:hint="eastAsia"/>
          <w:color w:val="auto"/>
          <w:highlight w:val="none"/>
          <w:lang w:eastAsia="zh-CN"/>
        </w:rPr>
        <w:t>¥23,216,813.21元</w:t>
      </w:r>
      <w:r>
        <w:rPr>
          <w:rFonts w:hint="eastAsia"/>
          <w:color w:val="auto"/>
          <w:highlight w:val="none"/>
        </w:rPr>
        <w:t>。</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0" w:after="0" w:line="500" w:lineRule="exact"/>
        <w:ind w:left="671" w:right="955" w:firstLine="420"/>
        <w:jc w:val="both"/>
        <w:textAlignment w:val="auto"/>
        <w:rPr>
          <w:color w:val="auto"/>
          <w:sz w:val="15"/>
          <w:highlight w:val="none"/>
        </w:rPr>
      </w:pPr>
      <w:r>
        <w:rPr>
          <w:color w:val="auto"/>
          <w:highlight w:val="none"/>
        </w:rPr>
        <w:t>计划工期：</w:t>
      </w:r>
      <w:r>
        <w:rPr>
          <w:rFonts w:hint="eastAsia"/>
          <w:color w:val="auto"/>
          <w:highlight w:val="none"/>
          <w:u w:val="single"/>
          <w:lang w:val="en-US" w:eastAsia="zh-CN"/>
        </w:rPr>
        <w:t>120</w:t>
      </w:r>
      <w:r>
        <w:rPr>
          <w:rFonts w:hint="eastAsia"/>
          <w:color w:val="auto"/>
          <w:highlight w:val="none"/>
          <w:lang w:eastAsia="zh-CN"/>
        </w:rPr>
        <w:t>个日历天（具体开工日期以招标人开工报告批准日期为准）</w:t>
      </w:r>
      <w:r>
        <w:rPr>
          <w:color w:val="auto"/>
          <w:highlight w:val="none"/>
        </w:rPr>
        <w:t>。</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1" w:after="0" w:line="500" w:lineRule="exact"/>
        <w:ind w:left="671" w:right="955" w:firstLine="420"/>
        <w:jc w:val="left"/>
        <w:textAlignment w:val="auto"/>
        <w:rPr>
          <w:color w:val="auto"/>
          <w:highlight w:val="none"/>
        </w:rPr>
      </w:pPr>
      <w:r>
        <w:rPr>
          <w:color w:val="auto"/>
          <w:highlight w:val="none"/>
        </w:rPr>
        <w:t>招标范围：</w:t>
      </w:r>
      <w:r>
        <w:rPr>
          <w:rFonts w:hint="eastAsia"/>
          <w:color w:val="auto"/>
          <w:highlight w:val="none"/>
          <w:lang w:eastAsia="zh-CN"/>
        </w:rPr>
        <w:t>云安区生猪产业园—优质生猪标准化规模养殖基地项目</w:t>
      </w:r>
      <w:r>
        <w:rPr>
          <w:color w:val="auto"/>
          <w:highlight w:val="none"/>
        </w:rPr>
        <w:t>，具体工程项目内容按工程量清单及施工图纸。</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0" w:after="0" w:line="500" w:lineRule="exact"/>
        <w:ind w:left="1511" w:right="0" w:hanging="421"/>
        <w:jc w:val="left"/>
        <w:textAlignment w:val="auto"/>
        <w:rPr>
          <w:color w:val="auto"/>
          <w:highlight w:val="none"/>
        </w:rPr>
      </w:pPr>
      <w:r>
        <w:rPr>
          <w:color w:val="auto"/>
          <w:highlight w:val="none"/>
        </w:rPr>
        <w:t>工程质量</w:t>
      </w:r>
      <w:r>
        <w:rPr>
          <w:rFonts w:hint="eastAsia"/>
          <w:color w:val="auto"/>
          <w:highlight w:val="none"/>
          <w:lang w:val="en-US" w:eastAsia="zh-CN"/>
        </w:rPr>
        <w:t>标准</w:t>
      </w:r>
      <w:r>
        <w:rPr>
          <w:color w:val="auto"/>
          <w:highlight w:val="none"/>
        </w:rPr>
        <w:t>：符合《工程施工质量验收规范》合格标准。</w:t>
      </w:r>
    </w:p>
    <w:p>
      <w:pPr>
        <w:pStyle w:val="14"/>
        <w:keepNext w:val="0"/>
        <w:keepLines w:val="0"/>
        <w:pageBreakBefore w:val="0"/>
        <w:kinsoku/>
        <w:wordWrap/>
        <w:overflowPunct/>
        <w:topLinePunct w:val="0"/>
        <w:autoSpaceDE w:val="0"/>
        <w:autoSpaceDN w:val="0"/>
        <w:bidi w:val="0"/>
        <w:adjustRightInd/>
        <w:snapToGrid/>
        <w:spacing w:before="1" w:line="500" w:lineRule="exact"/>
        <w:textAlignment w:val="auto"/>
        <w:rPr>
          <w:color w:val="auto"/>
          <w:sz w:val="14"/>
          <w:highlight w:val="none"/>
        </w:rPr>
      </w:pP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color w:val="auto"/>
          <w:highlight w:val="none"/>
        </w:rPr>
      </w:pPr>
      <w:r>
        <w:rPr>
          <w:b/>
          <w:bCs/>
          <w:color w:val="auto"/>
          <w:sz w:val="24"/>
          <w:szCs w:val="24"/>
          <w:highlight w:val="none"/>
        </w:rPr>
        <w:t>投标人资格要求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60" w:leftChars="300" w:right="0" w:firstLine="440" w:firstLineChars="0"/>
        <w:jc w:val="left"/>
        <w:textAlignment w:val="auto"/>
        <w:rPr>
          <w:rFonts w:hint="eastAsia" w:ascii="宋体" w:hAnsi="宋体" w:eastAsia="宋体" w:cs="宋体"/>
          <w:color w:val="auto"/>
          <w:kern w:val="0"/>
          <w:sz w:val="22"/>
          <w:szCs w:val="22"/>
          <w:highlight w:val="none"/>
          <w:lang w:val="zh-CN" w:eastAsia="zh-CN" w:bidi="zh-CN"/>
        </w:rPr>
      </w:pPr>
      <w:r>
        <w:rPr>
          <w:rFonts w:hint="eastAsia" w:ascii="宋体" w:hAnsi="宋体" w:eastAsia="宋体" w:cs="宋体"/>
          <w:color w:val="auto"/>
          <w:kern w:val="0"/>
          <w:sz w:val="22"/>
          <w:szCs w:val="22"/>
          <w:highlight w:val="none"/>
          <w:lang w:val="en-US" w:eastAsia="zh-CN" w:bidi="zh-CN"/>
        </w:rPr>
        <w:t>3.1投标人须具备建设行政主管部门核发的建筑工程施工总承包叁级或以上资质，并在人员、设备、资金等方面具有相应的施工能力。</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58" w:leftChars="299" w:right="0" w:firstLine="442" w:firstLineChars="0"/>
        <w:textAlignment w:val="auto"/>
        <w:rPr>
          <w:rFonts w:hint="eastAsia" w:ascii="宋体" w:hAnsi="宋体" w:eastAsia="宋体" w:cs="宋体"/>
          <w:color w:val="auto"/>
          <w:kern w:val="0"/>
          <w:sz w:val="22"/>
          <w:szCs w:val="22"/>
          <w:highlight w:val="none"/>
          <w:lang w:val="zh-CN" w:eastAsia="zh-CN" w:bidi="zh-CN"/>
        </w:rPr>
      </w:pPr>
      <w:r>
        <w:rPr>
          <w:rFonts w:hint="eastAsia" w:ascii="宋体" w:hAnsi="宋体" w:eastAsia="宋体" w:cs="宋体"/>
          <w:color w:val="auto"/>
          <w:kern w:val="0"/>
          <w:sz w:val="22"/>
          <w:szCs w:val="22"/>
          <w:highlight w:val="none"/>
          <w:lang w:val="zh-CN" w:eastAsia="zh-CN" w:bidi="zh-CN"/>
        </w:rPr>
        <w:t>3.2投标人须具有独立法人资格及有效营业执照，具有建设行政主管部门颁发的安全生产许可证且处于有效期内。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58" w:leftChars="299" w:right="0" w:firstLine="442" w:firstLineChars="0"/>
        <w:textAlignment w:val="auto"/>
        <w:rPr>
          <w:rFonts w:hint="eastAsia" w:ascii="宋体" w:hAnsi="宋体" w:eastAsia="宋体" w:cs="宋体"/>
          <w:color w:val="auto"/>
          <w:kern w:val="0"/>
          <w:sz w:val="22"/>
          <w:szCs w:val="22"/>
          <w:highlight w:val="none"/>
          <w:lang w:val="en-US" w:eastAsia="zh-CN" w:bidi="zh-CN"/>
        </w:rPr>
      </w:pPr>
      <w:r>
        <w:rPr>
          <w:rFonts w:hint="eastAsia" w:cs="宋体"/>
          <w:color w:val="auto"/>
          <w:kern w:val="0"/>
          <w:sz w:val="22"/>
          <w:szCs w:val="22"/>
          <w:highlight w:val="none"/>
          <w:lang w:val="en-US" w:eastAsia="zh-CN" w:bidi="zh-CN"/>
        </w:rPr>
        <w:t>3.3</w:t>
      </w:r>
      <w:r>
        <w:rPr>
          <w:rFonts w:hint="eastAsia" w:ascii="宋体" w:hAnsi="宋体" w:eastAsia="宋体" w:cs="宋体"/>
          <w:color w:val="auto"/>
          <w:kern w:val="0"/>
          <w:sz w:val="22"/>
          <w:szCs w:val="22"/>
          <w:highlight w:val="none"/>
          <w:lang w:val="en-US" w:eastAsia="zh-CN" w:bidi="zh-CN"/>
        </w:rPr>
        <w:t>投标人没有处于责令停业，财产被接管、冻结，破产状况等。</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58" w:leftChars="299" w:right="0" w:firstLine="442" w:firstLineChars="0"/>
        <w:textAlignment w:val="auto"/>
        <w:rPr>
          <w:rFonts w:hint="default" w:ascii="宋体" w:hAnsi="宋体" w:eastAsia="宋体" w:cs="宋体"/>
          <w:color w:val="auto"/>
          <w:sz w:val="22"/>
          <w:szCs w:val="22"/>
          <w:highlight w:val="none"/>
          <w:lang w:val="en-US" w:eastAsia="zh-CN" w:bidi="zh-CN"/>
        </w:rPr>
      </w:pPr>
      <w:r>
        <w:rPr>
          <w:rFonts w:hint="eastAsia" w:ascii="宋体" w:hAnsi="宋体" w:eastAsia="宋体" w:cs="宋体"/>
          <w:color w:val="auto"/>
          <w:kern w:val="0"/>
          <w:sz w:val="22"/>
          <w:szCs w:val="22"/>
          <w:highlight w:val="none"/>
          <w:lang w:val="en-US" w:eastAsia="zh-CN" w:bidi="zh-CN"/>
        </w:rPr>
        <w:t>3.</w:t>
      </w:r>
      <w:r>
        <w:rPr>
          <w:rFonts w:hint="eastAsia" w:cs="宋体"/>
          <w:color w:val="auto"/>
          <w:kern w:val="0"/>
          <w:sz w:val="22"/>
          <w:szCs w:val="22"/>
          <w:highlight w:val="none"/>
          <w:lang w:val="en-US" w:eastAsia="zh-CN" w:bidi="zh-CN"/>
        </w:rPr>
        <w:t>4</w:t>
      </w:r>
      <w:r>
        <w:rPr>
          <w:rFonts w:hint="eastAsia" w:ascii="宋体" w:hAnsi="宋体" w:eastAsia="宋体" w:cs="宋体"/>
          <w:color w:val="auto"/>
          <w:kern w:val="0"/>
          <w:sz w:val="22"/>
          <w:szCs w:val="22"/>
          <w:highlight w:val="none"/>
          <w:lang w:val="en-US" w:eastAsia="zh-CN" w:bidi="zh-CN"/>
        </w:rPr>
        <w:t>投标人没有被列入失信被执行人黑名单，须提供在“中国执行信息公开网”（http://zxgk.court.gov</w:t>
      </w:r>
      <w:r>
        <w:rPr>
          <w:rFonts w:hint="eastAsia" w:ascii="宋体" w:hAnsi="宋体" w:eastAsia="宋体" w:cs="宋体"/>
          <w:color w:val="auto"/>
          <w:sz w:val="22"/>
          <w:szCs w:val="22"/>
          <w:highlight w:val="none"/>
          <w:lang w:val="en-US" w:eastAsia="zh-CN" w:bidi="zh-CN"/>
        </w:rPr>
        <w:t>.cn/shixin/）的网页截图或网页打印件。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58" w:leftChars="299" w:right="0" w:firstLine="442" w:firstLineChars="0"/>
        <w:textAlignment w:val="auto"/>
        <w:rPr>
          <w:rFonts w:hint="default"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3.</w:t>
      </w:r>
      <w:r>
        <w:rPr>
          <w:rFonts w:hint="eastAsia" w:cs="宋体"/>
          <w:color w:val="auto"/>
          <w:sz w:val="22"/>
          <w:szCs w:val="22"/>
          <w:highlight w:val="none"/>
          <w:lang w:val="en-US" w:eastAsia="zh-CN" w:bidi="zh-CN"/>
        </w:rPr>
        <w:t>5</w:t>
      </w:r>
      <w:r>
        <w:rPr>
          <w:rFonts w:hint="eastAsia" w:ascii="宋体" w:hAnsi="宋体" w:eastAsia="宋体" w:cs="宋体"/>
          <w:color w:val="auto"/>
          <w:sz w:val="22"/>
          <w:szCs w:val="22"/>
          <w:highlight w:val="none"/>
          <w:lang w:val="en-US" w:eastAsia="zh-CN" w:bidi="zh-CN"/>
        </w:rPr>
        <w:t>投标人近3年内（从发布招标公告当日往前顺推三年）不得发生以下情况：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特别提示：投标人无论在何地受到处罚，只要在处罚期内，投标人如被查实有以上违法违纪行为的，除投标按无效处理外，其投标行为还须按“提供虚假投标材料”上报相关的建设行政主管部门，并不予退还本项目的投标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58" w:leftChars="299" w:right="0" w:firstLine="442" w:firstLineChars="0"/>
        <w:jc w:val="both"/>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en-US" w:eastAsia="zh-CN" w:bidi="zh-CN"/>
        </w:rPr>
        <w:t>3.</w:t>
      </w:r>
      <w:r>
        <w:rPr>
          <w:rFonts w:hint="eastAsia" w:cs="宋体"/>
          <w:color w:val="auto"/>
          <w:sz w:val="22"/>
          <w:szCs w:val="22"/>
          <w:highlight w:val="none"/>
          <w:lang w:val="en-US" w:eastAsia="zh-CN" w:bidi="zh-CN"/>
        </w:rPr>
        <w:t>6</w:t>
      </w:r>
      <w:r>
        <w:rPr>
          <w:rFonts w:hint="eastAsia" w:ascii="宋体" w:hAnsi="宋体" w:eastAsia="宋体" w:cs="宋体"/>
          <w:color w:val="auto"/>
          <w:sz w:val="22"/>
          <w:szCs w:val="22"/>
          <w:highlight w:val="none"/>
          <w:lang w:val="en-US" w:eastAsia="zh-CN" w:bidi="zh-CN"/>
        </w:rPr>
        <w:t>本次招标不接受联合体投标。</w:t>
      </w: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b/>
          <w:bCs/>
          <w:color w:val="auto"/>
          <w:sz w:val="24"/>
          <w:szCs w:val="24"/>
          <w:highlight w:val="none"/>
        </w:rPr>
      </w:pPr>
      <w:r>
        <w:rPr>
          <w:b/>
          <w:bCs/>
          <w:color w:val="auto"/>
          <w:sz w:val="24"/>
          <w:szCs w:val="24"/>
          <w:highlight w:val="none"/>
        </w:rPr>
        <w:t>招标文件及有关资料的获取</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178" w:after="0" w:line="500" w:lineRule="exact"/>
        <w:ind w:left="671" w:right="955" w:firstLine="420"/>
        <w:jc w:val="left"/>
        <w:textAlignment w:val="auto"/>
        <w:rPr>
          <w:color w:val="auto"/>
          <w:sz w:val="21"/>
          <w:highlight w:val="none"/>
        </w:rPr>
      </w:pPr>
      <w:r>
        <w:rPr>
          <w:color w:val="auto"/>
          <w:highlight w:val="none"/>
        </w:rPr>
        <w:t>各潜在投标人，自本项目招标公告发布后可在</w:t>
      </w:r>
      <w:r>
        <w:rPr>
          <w:rFonts w:hint="eastAsia"/>
          <w:b/>
          <w:bCs/>
          <w:color w:val="auto"/>
          <w:highlight w:val="none"/>
          <w:lang w:val="en-US" w:eastAsia="zh-CN"/>
        </w:rPr>
        <w:t>广东晓君项目管理有限公司网站或</w:t>
      </w:r>
      <w:r>
        <w:rPr>
          <w:b/>
          <w:bCs/>
          <w:color w:val="auto"/>
          <w:highlight w:val="none"/>
        </w:rPr>
        <w:t>云浮市公共资源交易服务平台</w:t>
      </w:r>
      <w:r>
        <w:rPr>
          <w:color w:val="auto"/>
          <w:highlight w:val="none"/>
        </w:rPr>
        <w:t>免费下载招标文件及其答疑文件等附件</w:t>
      </w:r>
      <w:r>
        <w:rPr>
          <w:rFonts w:hint="eastAsia"/>
          <w:color w:val="auto"/>
          <w:highlight w:val="none"/>
          <w:lang w:eastAsia="zh-CN"/>
        </w:rPr>
        <w:t>，</w:t>
      </w:r>
      <w:r>
        <w:rPr>
          <w:rFonts w:hint="eastAsia"/>
          <w:color w:val="auto"/>
          <w:highlight w:val="none"/>
          <w:lang w:val="en-US" w:eastAsia="zh-CN"/>
        </w:rPr>
        <w:t>本项目</w:t>
      </w:r>
      <w:r>
        <w:rPr>
          <w:color w:val="auto"/>
          <w:highlight w:val="none"/>
        </w:rPr>
        <w:t>工程量清单及施工图纸</w:t>
      </w:r>
      <w:r>
        <w:rPr>
          <w:rFonts w:hint="eastAsia"/>
          <w:color w:val="auto"/>
          <w:highlight w:val="none"/>
          <w:lang w:val="en-US" w:eastAsia="zh-CN"/>
        </w:rPr>
        <w:t>须在报名时获取</w:t>
      </w:r>
      <w:r>
        <w:rPr>
          <w:color w:val="auto"/>
          <w:highlight w:val="none"/>
        </w:rPr>
        <w:t>。</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0" w:after="0" w:line="500" w:lineRule="exact"/>
        <w:ind w:left="671" w:right="955" w:firstLine="420"/>
        <w:jc w:val="left"/>
        <w:textAlignment w:val="auto"/>
        <w:rPr>
          <w:color w:val="auto"/>
          <w:highlight w:val="none"/>
        </w:rPr>
      </w:pPr>
      <w:r>
        <w:rPr>
          <w:color w:val="auto"/>
          <w:highlight w:val="none"/>
        </w:rPr>
        <w:t>各潜在投标人，于</w:t>
      </w:r>
      <w:r>
        <w:rPr>
          <w:rFonts w:hint="eastAsia"/>
          <w:b/>
          <w:bCs/>
          <w:color w:val="auto"/>
          <w:highlight w:val="none"/>
          <w:lang w:val="en-US" w:eastAsia="zh-CN"/>
        </w:rPr>
        <w:t>2022年8月23日-2022年8月29日（仅限工作日时间接受报名：上午08:00-11:30;下午14：30-17:30，北京时间）</w:t>
      </w:r>
      <w:r>
        <w:rPr>
          <w:color w:val="auto"/>
          <w:highlight w:val="none"/>
        </w:rPr>
        <w:t>到</w:t>
      </w:r>
      <w:r>
        <w:rPr>
          <w:rFonts w:hint="eastAsia"/>
          <w:b/>
          <w:bCs/>
          <w:color w:val="auto"/>
          <w:highlight w:val="none"/>
          <w:lang w:eastAsia="zh-CN"/>
        </w:rPr>
        <w:t>云浮市云城区城中路110号三楼</w:t>
      </w:r>
      <w:r>
        <w:rPr>
          <w:rFonts w:hint="eastAsia"/>
          <w:b/>
          <w:bCs/>
          <w:color w:val="auto"/>
          <w:highlight w:val="none"/>
          <w:lang w:val="en-US" w:eastAsia="zh-CN"/>
        </w:rPr>
        <w:t>广东晓君项目管理有限公司</w:t>
      </w:r>
      <w:r>
        <w:rPr>
          <w:rFonts w:hint="eastAsia"/>
          <w:b w:val="0"/>
          <w:bCs w:val="0"/>
          <w:color w:val="auto"/>
          <w:highlight w:val="none"/>
          <w:lang w:val="en-US" w:eastAsia="zh-CN"/>
        </w:rPr>
        <w:t>现场</w:t>
      </w:r>
      <w:r>
        <w:rPr>
          <w:rFonts w:hint="eastAsia"/>
          <w:color w:val="auto"/>
          <w:highlight w:val="none"/>
          <w:lang w:val="en-US" w:eastAsia="zh-CN"/>
        </w:rPr>
        <w:t>参加报名并提供以下资料</w:t>
      </w:r>
      <w:r>
        <w:rPr>
          <w:rFonts w:hint="eastAsia"/>
          <w:b/>
          <w:bCs/>
          <w:color w:val="auto"/>
          <w:highlight w:val="none"/>
          <w:lang w:val="en-US" w:eastAsia="zh-CN"/>
        </w:rPr>
        <w:t>：</w:t>
      </w:r>
    </w:p>
    <w:p>
      <w:pPr>
        <w:pStyle w:val="28"/>
        <w:keepNext w:val="0"/>
        <w:keepLines w:val="0"/>
        <w:pageBreakBefore w:val="0"/>
        <w:numPr>
          <w:ilvl w:val="0"/>
          <w:numId w:val="0"/>
        </w:numPr>
        <w:tabs>
          <w:tab w:val="left" w:pos="1512"/>
        </w:tabs>
        <w:kinsoku/>
        <w:wordWrap/>
        <w:overflowPunct/>
        <w:topLinePunct w:val="0"/>
        <w:autoSpaceDE w:val="0"/>
        <w:autoSpaceDN w:val="0"/>
        <w:bidi w:val="0"/>
        <w:adjustRightInd/>
        <w:snapToGrid/>
        <w:spacing w:before="0" w:after="0" w:line="500" w:lineRule="exact"/>
        <w:ind w:left="1091" w:leftChars="0" w:right="955" w:rightChars="0"/>
        <w:jc w:val="left"/>
        <w:textAlignment w:val="auto"/>
        <w:rPr>
          <w:rFonts w:hint="default"/>
          <w:b/>
          <w:bCs/>
          <w:color w:val="auto"/>
          <w:highlight w:val="none"/>
          <w:lang w:val="en-US" w:eastAsia="zh-CN"/>
        </w:rPr>
      </w:pPr>
      <w:r>
        <w:rPr>
          <w:rFonts w:hint="eastAsia"/>
          <w:b/>
          <w:bCs/>
          <w:color w:val="auto"/>
          <w:highlight w:val="none"/>
          <w:lang w:val="en-US" w:eastAsia="zh-CN"/>
        </w:rPr>
        <w:t>4.2.1营业执照复印件</w:t>
      </w:r>
    </w:p>
    <w:p>
      <w:pPr>
        <w:pStyle w:val="28"/>
        <w:keepNext w:val="0"/>
        <w:keepLines w:val="0"/>
        <w:pageBreakBefore w:val="0"/>
        <w:numPr>
          <w:ilvl w:val="0"/>
          <w:numId w:val="0"/>
        </w:numPr>
        <w:tabs>
          <w:tab w:val="left" w:pos="1512"/>
        </w:tabs>
        <w:kinsoku/>
        <w:wordWrap/>
        <w:overflowPunct/>
        <w:topLinePunct w:val="0"/>
        <w:autoSpaceDE w:val="0"/>
        <w:autoSpaceDN w:val="0"/>
        <w:bidi w:val="0"/>
        <w:adjustRightInd/>
        <w:snapToGrid/>
        <w:spacing w:before="0" w:after="0" w:line="500" w:lineRule="exact"/>
        <w:ind w:left="1091" w:leftChars="0" w:right="955" w:rightChars="0"/>
        <w:jc w:val="left"/>
        <w:textAlignment w:val="auto"/>
        <w:rPr>
          <w:rFonts w:hint="eastAsia"/>
          <w:b/>
          <w:bCs/>
          <w:color w:val="auto"/>
          <w:highlight w:val="none"/>
          <w:lang w:val="en-US" w:eastAsia="zh-CN"/>
        </w:rPr>
      </w:pPr>
      <w:r>
        <w:rPr>
          <w:rFonts w:hint="eastAsia"/>
          <w:b/>
          <w:bCs/>
          <w:color w:val="auto"/>
          <w:highlight w:val="none"/>
          <w:lang w:val="en-US" w:eastAsia="zh-CN"/>
        </w:rPr>
        <w:t>4.2.2法定代表人证明书原件及法定代表人身份证复印件</w:t>
      </w:r>
    </w:p>
    <w:p>
      <w:pPr>
        <w:keepNext w:val="0"/>
        <w:keepLines w:val="0"/>
        <w:pageBreakBefore w:val="0"/>
        <w:kinsoku/>
        <w:wordWrap/>
        <w:overflowPunct/>
        <w:topLinePunct w:val="0"/>
        <w:autoSpaceDE w:val="0"/>
        <w:autoSpaceDN w:val="0"/>
        <w:bidi w:val="0"/>
        <w:adjustRightInd/>
        <w:snapToGrid/>
        <w:spacing w:line="500" w:lineRule="exact"/>
        <w:ind w:firstLine="1104" w:firstLineChars="500"/>
        <w:textAlignment w:val="auto"/>
        <w:rPr>
          <w:rFonts w:hint="eastAsia" w:ascii="宋体" w:hAnsi="宋体" w:eastAsia="宋体" w:cs="宋体"/>
          <w:b/>
          <w:bCs/>
          <w:color w:val="auto"/>
          <w:sz w:val="22"/>
          <w:szCs w:val="22"/>
          <w:highlight w:val="none"/>
          <w:lang w:val="en-US" w:eastAsia="zh-CN" w:bidi="zh-CN"/>
        </w:rPr>
      </w:pPr>
      <w:r>
        <w:rPr>
          <w:rFonts w:hint="eastAsia" w:ascii="宋体" w:hAnsi="宋体" w:eastAsia="宋体" w:cs="宋体"/>
          <w:b/>
          <w:bCs/>
          <w:color w:val="auto"/>
          <w:sz w:val="22"/>
          <w:szCs w:val="22"/>
          <w:highlight w:val="none"/>
          <w:lang w:val="en-US" w:eastAsia="zh-CN" w:bidi="zh-CN"/>
        </w:rPr>
        <w:t>4.2.3法定代表人委托授权书原件及被授权人身份证复印件（如有）</w:t>
      </w:r>
    </w:p>
    <w:p>
      <w:pPr>
        <w:keepNext w:val="0"/>
        <w:keepLines w:val="0"/>
        <w:pageBreakBefore w:val="0"/>
        <w:kinsoku/>
        <w:wordWrap/>
        <w:overflowPunct/>
        <w:topLinePunct w:val="0"/>
        <w:autoSpaceDE w:val="0"/>
        <w:autoSpaceDN w:val="0"/>
        <w:bidi w:val="0"/>
        <w:adjustRightInd/>
        <w:snapToGrid/>
        <w:spacing w:line="500" w:lineRule="exact"/>
        <w:ind w:left="660" w:leftChars="300" w:firstLine="444" w:firstLineChars="201"/>
        <w:textAlignment w:val="auto"/>
        <w:rPr>
          <w:rFonts w:hint="eastAsia" w:ascii="宋体" w:hAnsi="宋体" w:eastAsia="宋体" w:cs="宋体"/>
          <w:b/>
          <w:bCs/>
          <w:color w:val="auto"/>
          <w:sz w:val="22"/>
          <w:szCs w:val="22"/>
          <w:highlight w:val="none"/>
          <w:lang w:val="en-US" w:eastAsia="zh-CN" w:bidi="zh-CN"/>
        </w:rPr>
      </w:pPr>
      <w:r>
        <w:rPr>
          <w:rFonts w:hint="eastAsia"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lang w:val="en-US" w:eastAsia="zh-CN" w:bidi="zh-CN"/>
        </w:rPr>
        <w:t>以上提交的文件均需盖公章，</w:t>
      </w:r>
      <w:r>
        <w:rPr>
          <w:rFonts w:hint="eastAsia" w:cs="宋体"/>
          <w:b/>
          <w:bCs/>
          <w:color w:val="auto"/>
          <w:sz w:val="22"/>
          <w:szCs w:val="22"/>
          <w:highlight w:val="none"/>
          <w:lang w:val="en-US" w:eastAsia="zh-CN" w:bidi="zh-CN"/>
        </w:rPr>
        <w:t>招标</w:t>
      </w:r>
      <w:r>
        <w:rPr>
          <w:rFonts w:hint="eastAsia" w:ascii="宋体" w:hAnsi="宋体" w:eastAsia="宋体" w:cs="宋体"/>
          <w:b/>
          <w:bCs/>
          <w:color w:val="auto"/>
          <w:sz w:val="22"/>
          <w:szCs w:val="22"/>
          <w:highlight w:val="none"/>
          <w:lang w:val="en-US" w:eastAsia="zh-CN" w:bidi="zh-CN"/>
        </w:rPr>
        <w:t>代理机构只接受提供完整报名资料的供应商的报名</w:t>
      </w:r>
      <w:r>
        <w:rPr>
          <w:rFonts w:hint="eastAsia" w:cs="宋体"/>
          <w:b/>
          <w:bCs/>
          <w:color w:val="auto"/>
          <w:sz w:val="22"/>
          <w:szCs w:val="22"/>
          <w:highlight w:val="none"/>
          <w:lang w:val="en-US" w:eastAsia="zh-CN" w:bidi="zh-CN"/>
        </w:rPr>
        <w:t>，参加报名的供应商方可投标</w:t>
      </w:r>
      <w:r>
        <w:rPr>
          <w:rFonts w:hint="eastAsia" w:ascii="宋体" w:hAnsi="宋体" w:eastAsia="宋体" w:cs="宋体"/>
          <w:b/>
          <w:bCs/>
          <w:color w:val="auto"/>
          <w:sz w:val="22"/>
          <w:szCs w:val="22"/>
          <w:highlight w:val="none"/>
          <w:lang w:val="en-US" w:eastAsia="zh-CN" w:bidi="zh-CN"/>
        </w:rPr>
        <w:t>。供应商获取了报名资格并非意味着满足了合格、有效报价人的基本条件，一切均以评标委员会共同评定确认的结果为准，以上资料须放入报价文件中。）</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0" w:after="0" w:line="500" w:lineRule="exact"/>
        <w:ind w:left="671" w:right="955" w:firstLine="420"/>
        <w:jc w:val="left"/>
        <w:textAlignment w:val="auto"/>
        <w:rPr>
          <w:color w:val="auto"/>
          <w:highlight w:val="none"/>
        </w:rPr>
      </w:pPr>
      <w:r>
        <w:rPr>
          <w:color w:val="auto"/>
          <w:highlight w:val="none"/>
        </w:rPr>
        <w:t>支付招标文件工本费500元，售后不退。</w:t>
      </w: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b/>
          <w:bCs/>
          <w:color w:val="auto"/>
          <w:sz w:val="24"/>
          <w:szCs w:val="24"/>
          <w:highlight w:val="none"/>
        </w:rPr>
      </w:pPr>
      <w:r>
        <w:rPr>
          <w:b/>
          <w:bCs/>
          <w:color w:val="auto"/>
          <w:sz w:val="24"/>
          <w:szCs w:val="24"/>
          <w:highlight w:val="none"/>
        </w:rPr>
        <w:t>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60" w:leftChars="300" w:right="0" w:firstLine="440" w:firstLineChars="0"/>
        <w:jc w:val="left"/>
        <w:textAlignment w:val="auto"/>
        <w:rPr>
          <w:rFonts w:hint="eastAsia" w:ascii="宋体" w:hAnsi="宋体" w:eastAsia="宋体" w:cs="宋体"/>
          <w:color w:val="auto"/>
          <w:kern w:val="0"/>
          <w:sz w:val="22"/>
          <w:szCs w:val="22"/>
          <w:highlight w:val="none"/>
          <w:lang w:val="en-US" w:eastAsia="zh-CN" w:bidi="zh-CN"/>
        </w:rPr>
      </w:pPr>
      <w:r>
        <w:rPr>
          <w:rFonts w:hint="eastAsia" w:cs="宋体"/>
          <w:color w:val="auto"/>
          <w:kern w:val="0"/>
          <w:sz w:val="22"/>
          <w:szCs w:val="22"/>
          <w:highlight w:val="none"/>
          <w:lang w:val="en-US" w:eastAsia="zh-CN" w:bidi="zh-CN"/>
        </w:rPr>
        <w:t>5.1</w:t>
      </w:r>
      <w:r>
        <w:rPr>
          <w:rFonts w:hint="eastAsia" w:ascii="宋体" w:hAnsi="宋体" w:eastAsia="宋体" w:cs="宋体"/>
          <w:color w:val="auto"/>
          <w:kern w:val="0"/>
          <w:sz w:val="22"/>
          <w:szCs w:val="22"/>
          <w:highlight w:val="none"/>
          <w:lang w:val="en-US" w:eastAsia="zh-CN" w:bidi="zh-CN"/>
        </w:rPr>
        <w:t>递交投标文件时间：2022年9月</w:t>
      </w:r>
      <w:r>
        <w:rPr>
          <w:rFonts w:hint="eastAsia" w:cs="宋体"/>
          <w:color w:val="auto"/>
          <w:kern w:val="0"/>
          <w:sz w:val="22"/>
          <w:szCs w:val="22"/>
          <w:highlight w:val="none"/>
          <w:lang w:val="en-US" w:eastAsia="zh-CN" w:bidi="zh-CN"/>
        </w:rPr>
        <w:t>13</w:t>
      </w:r>
      <w:r>
        <w:rPr>
          <w:rFonts w:hint="eastAsia" w:ascii="宋体" w:hAnsi="宋体" w:eastAsia="宋体" w:cs="宋体"/>
          <w:color w:val="auto"/>
          <w:kern w:val="0"/>
          <w:sz w:val="22"/>
          <w:szCs w:val="22"/>
          <w:highlight w:val="none"/>
          <w:lang w:val="en-US" w:eastAsia="zh-CN" w:bidi="zh-CN"/>
        </w:rPr>
        <w:t>日上午08：00-08：30（北京时间）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60" w:leftChars="300" w:right="0" w:firstLine="440" w:firstLineChars="0"/>
        <w:jc w:val="left"/>
        <w:textAlignment w:val="auto"/>
        <w:rPr>
          <w:rFonts w:hint="eastAsia" w:ascii="宋体" w:hAnsi="宋体" w:eastAsia="宋体" w:cs="宋体"/>
          <w:color w:val="auto"/>
          <w:kern w:val="0"/>
          <w:sz w:val="22"/>
          <w:szCs w:val="22"/>
          <w:highlight w:val="none"/>
          <w:lang w:val="en-US" w:eastAsia="zh-CN" w:bidi="zh-CN"/>
        </w:rPr>
      </w:pPr>
      <w:r>
        <w:rPr>
          <w:rFonts w:hint="eastAsia" w:cs="宋体"/>
          <w:color w:val="auto"/>
          <w:kern w:val="0"/>
          <w:sz w:val="22"/>
          <w:szCs w:val="22"/>
          <w:highlight w:val="none"/>
          <w:lang w:val="en-US" w:eastAsia="zh-CN" w:bidi="zh-CN"/>
        </w:rPr>
        <w:t>5.2</w:t>
      </w:r>
      <w:r>
        <w:rPr>
          <w:rFonts w:hint="eastAsia" w:ascii="宋体" w:hAnsi="宋体" w:eastAsia="宋体" w:cs="宋体"/>
          <w:color w:val="auto"/>
          <w:kern w:val="0"/>
          <w:sz w:val="22"/>
          <w:szCs w:val="22"/>
          <w:highlight w:val="none"/>
          <w:lang w:val="en-US" w:eastAsia="zh-CN" w:bidi="zh-CN"/>
        </w:rPr>
        <w:t>投标文件递交的截止时间（投标截止时间，下同）为2022年9月</w:t>
      </w:r>
      <w:r>
        <w:rPr>
          <w:rFonts w:hint="eastAsia" w:cs="宋体"/>
          <w:color w:val="auto"/>
          <w:kern w:val="0"/>
          <w:sz w:val="22"/>
          <w:szCs w:val="22"/>
          <w:highlight w:val="none"/>
          <w:lang w:val="en-US" w:eastAsia="zh-CN" w:bidi="zh-CN"/>
        </w:rPr>
        <w:t>13</w:t>
      </w:r>
      <w:r>
        <w:rPr>
          <w:rFonts w:hint="eastAsia" w:ascii="宋体" w:hAnsi="宋体" w:eastAsia="宋体" w:cs="宋体"/>
          <w:color w:val="auto"/>
          <w:kern w:val="0"/>
          <w:sz w:val="22"/>
          <w:szCs w:val="22"/>
          <w:highlight w:val="none"/>
          <w:lang w:val="en-US" w:eastAsia="zh-CN" w:bidi="zh-CN"/>
        </w:rPr>
        <w:t>日上午08：30（北京时间），地点为广东晓君项目管理有限公司（地址：云浮市云城区城中路110号三楼）。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60" w:leftChars="300" w:right="0" w:firstLine="440" w:firstLineChars="0"/>
        <w:jc w:val="left"/>
        <w:textAlignment w:val="auto"/>
        <w:rPr>
          <w:rFonts w:hint="eastAsia" w:ascii="宋体" w:hAnsi="宋体" w:eastAsia="宋体" w:cs="宋体"/>
          <w:color w:val="auto"/>
          <w:kern w:val="0"/>
          <w:sz w:val="22"/>
          <w:szCs w:val="22"/>
          <w:highlight w:val="none"/>
          <w:lang w:val="en-US" w:eastAsia="zh-CN" w:bidi="zh-CN"/>
        </w:rPr>
      </w:pPr>
      <w:r>
        <w:rPr>
          <w:rFonts w:hint="eastAsia" w:cs="宋体"/>
          <w:color w:val="auto"/>
          <w:kern w:val="0"/>
          <w:sz w:val="22"/>
          <w:szCs w:val="22"/>
          <w:highlight w:val="none"/>
          <w:lang w:val="en-US" w:eastAsia="zh-CN" w:bidi="zh-CN"/>
        </w:rPr>
        <w:t>5.3</w:t>
      </w:r>
      <w:r>
        <w:rPr>
          <w:rFonts w:hint="eastAsia" w:ascii="宋体" w:hAnsi="宋体" w:eastAsia="宋体" w:cs="宋体"/>
          <w:color w:val="auto"/>
          <w:kern w:val="0"/>
          <w:sz w:val="22"/>
          <w:szCs w:val="22"/>
          <w:highlight w:val="none"/>
          <w:lang w:val="en-US" w:eastAsia="zh-CN" w:bidi="zh-CN"/>
        </w:rPr>
        <w:t>开标时间： 2022年9月</w:t>
      </w:r>
      <w:r>
        <w:rPr>
          <w:rFonts w:hint="eastAsia" w:cs="宋体"/>
          <w:color w:val="auto"/>
          <w:kern w:val="0"/>
          <w:sz w:val="22"/>
          <w:szCs w:val="22"/>
          <w:highlight w:val="none"/>
          <w:lang w:val="en-US" w:eastAsia="zh-CN" w:bidi="zh-CN"/>
        </w:rPr>
        <w:t>13</w:t>
      </w:r>
      <w:r>
        <w:rPr>
          <w:rFonts w:hint="eastAsia" w:ascii="宋体" w:hAnsi="宋体" w:eastAsia="宋体" w:cs="宋体"/>
          <w:color w:val="auto"/>
          <w:kern w:val="0"/>
          <w:sz w:val="22"/>
          <w:szCs w:val="22"/>
          <w:highlight w:val="none"/>
          <w:lang w:val="en-US" w:eastAsia="zh-CN" w:bidi="zh-CN"/>
        </w:rPr>
        <w:t>日上午08：30（北京时间）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60" w:leftChars="300" w:right="0" w:firstLine="440" w:firstLineChars="0"/>
        <w:jc w:val="left"/>
        <w:textAlignment w:val="auto"/>
        <w:rPr>
          <w:rFonts w:hint="eastAsia" w:ascii="宋体" w:hAnsi="宋体" w:eastAsia="宋体" w:cs="宋体"/>
          <w:color w:val="auto"/>
          <w:kern w:val="0"/>
          <w:sz w:val="22"/>
          <w:szCs w:val="22"/>
          <w:highlight w:val="none"/>
          <w:lang w:val="en-US" w:eastAsia="zh-CN" w:bidi="zh-CN"/>
        </w:rPr>
      </w:pPr>
      <w:r>
        <w:rPr>
          <w:rFonts w:hint="eastAsia" w:cs="宋体"/>
          <w:color w:val="auto"/>
          <w:kern w:val="0"/>
          <w:sz w:val="22"/>
          <w:szCs w:val="22"/>
          <w:highlight w:val="none"/>
          <w:lang w:val="en-US" w:eastAsia="zh-CN" w:bidi="zh-CN"/>
        </w:rPr>
        <w:t>5.4</w:t>
      </w:r>
      <w:r>
        <w:rPr>
          <w:rFonts w:hint="eastAsia" w:ascii="宋体" w:hAnsi="宋体" w:eastAsia="宋体" w:cs="宋体"/>
          <w:color w:val="auto"/>
          <w:kern w:val="0"/>
          <w:sz w:val="22"/>
          <w:szCs w:val="22"/>
          <w:highlight w:val="none"/>
          <w:lang w:val="en-US" w:eastAsia="zh-CN" w:bidi="zh-CN"/>
        </w:rPr>
        <w:t>逾期送达的、未送达指定地点的或者不按照招标文件要求密封的投标文件，招标人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660" w:leftChars="300" w:right="0" w:firstLine="440" w:firstLineChars="0"/>
        <w:jc w:val="left"/>
        <w:textAlignment w:val="auto"/>
        <w:rPr>
          <w:rFonts w:hint="eastAsia"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2"/>
          <w:szCs w:val="22"/>
          <w:highlight w:val="none"/>
          <w:lang w:val="en-US" w:eastAsia="zh-CN" w:bidi="zh-CN"/>
        </w:rPr>
        <w:t>将予以拒收。</w:t>
      </w:r>
    </w:p>
    <w:p>
      <w:pPr>
        <w:pStyle w:val="14"/>
        <w:keepNext w:val="0"/>
        <w:keepLines w:val="0"/>
        <w:pageBreakBefore w:val="0"/>
        <w:kinsoku/>
        <w:wordWrap/>
        <w:overflowPunct/>
        <w:topLinePunct w:val="0"/>
        <w:autoSpaceDE w:val="0"/>
        <w:autoSpaceDN w:val="0"/>
        <w:bidi w:val="0"/>
        <w:adjustRightInd/>
        <w:snapToGrid/>
        <w:spacing w:before="7" w:line="500" w:lineRule="exact"/>
        <w:textAlignment w:val="auto"/>
        <w:rPr>
          <w:color w:val="auto"/>
          <w:sz w:val="15"/>
          <w:highlight w:val="none"/>
        </w:rPr>
      </w:pP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b/>
          <w:bCs/>
          <w:color w:val="auto"/>
          <w:sz w:val="24"/>
          <w:szCs w:val="24"/>
          <w:highlight w:val="none"/>
        </w:rPr>
      </w:pPr>
      <w:r>
        <w:rPr>
          <w:b/>
          <w:bCs/>
          <w:color w:val="auto"/>
          <w:sz w:val="24"/>
          <w:szCs w:val="24"/>
          <w:highlight w:val="none"/>
        </w:rPr>
        <w:t>发布公告的媒介</w:t>
      </w:r>
    </w:p>
    <w:p>
      <w:pPr>
        <w:keepNext w:val="0"/>
        <w:keepLines w:val="0"/>
        <w:pageBreakBefore w:val="0"/>
        <w:kinsoku/>
        <w:wordWrap/>
        <w:overflowPunct/>
        <w:topLinePunct w:val="0"/>
        <w:autoSpaceDE w:val="0"/>
        <w:autoSpaceDN w:val="0"/>
        <w:bidi w:val="0"/>
        <w:adjustRightInd/>
        <w:snapToGrid/>
        <w:spacing w:before="178" w:line="500" w:lineRule="exact"/>
        <w:ind w:left="1091" w:right="0" w:firstLine="0"/>
        <w:jc w:val="left"/>
        <w:textAlignment w:val="auto"/>
        <w:rPr>
          <w:color w:val="auto"/>
          <w:sz w:val="21"/>
          <w:highlight w:val="none"/>
        </w:rPr>
      </w:pPr>
      <w:r>
        <w:rPr>
          <w:color w:val="auto"/>
          <w:sz w:val="21"/>
          <w:highlight w:val="none"/>
        </w:rPr>
        <w:t>本次招标公告在</w:t>
      </w:r>
      <w:r>
        <w:rPr>
          <w:rFonts w:hint="eastAsia"/>
          <w:b/>
          <w:bCs/>
          <w:color w:val="auto"/>
          <w:highlight w:val="none"/>
          <w:lang w:val="en-US" w:eastAsia="zh-CN"/>
        </w:rPr>
        <w:t>广东晓君项目管理有限公司网站、</w:t>
      </w:r>
      <w:r>
        <w:rPr>
          <w:b/>
          <w:bCs/>
          <w:color w:val="auto"/>
          <w:highlight w:val="none"/>
        </w:rPr>
        <w:t>云浮市公共资源交易服务平台</w:t>
      </w:r>
      <w:r>
        <w:rPr>
          <w:color w:val="auto"/>
          <w:sz w:val="21"/>
          <w:highlight w:val="none"/>
        </w:rPr>
        <w:t>上发布。</w:t>
      </w:r>
    </w:p>
    <w:p>
      <w:pPr>
        <w:pStyle w:val="14"/>
        <w:keepNext w:val="0"/>
        <w:keepLines w:val="0"/>
        <w:pageBreakBefore w:val="0"/>
        <w:kinsoku/>
        <w:wordWrap/>
        <w:overflowPunct/>
        <w:topLinePunct w:val="0"/>
        <w:autoSpaceDE w:val="0"/>
        <w:autoSpaceDN w:val="0"/>
        <w:bidi w:val="0"/>
        <w:adjustRightInd/>
        <w:snapToGrid/>
        <w:spacing w:before="1" w:line="500" w:lineRule="exact"/>
        <w:textAlignment w:val="auto"/>
        <w:rPr>
          <w:color w:val="auto"/>
          <w:sz w:val="14"/>
          <w:highlight w:val="none"/>
        </w:rPr>
      </w:pP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b/>
          <w:bCs/>
          <w:color w:val="auto"/>
          <w:sz w:val="24"/>
          <w:szCs w:val="24"/>
          <w:highlight w:val="none"/>
        </w:rPr>
      </w:pPr>
      <w:bookmarkStart w:id="2" w:name="_Toc36804957"/>
      <w:bookmarkStart w:id="3" w:name="_Toc52378569"/>
      <w:r>
        <w:rPr>
          <w:rFonts w:hint="eastAsia"/>
          <w:b/>
          <w:bCs/>
          <w:color w:val="auto"/>
          <w:sz w:val="24"/>
          <w:szCs w:val="24"/>
          <w:highlight w:val="none"/>
        </w:rPr>
        <w:t>温馨提示</w:t>
      </w:r>
      <w:bookmarkEnd w:id="2"/>
      <w:bookmarkEnd w:id="3"/>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1" w:after="0" w:line="500" w:lineRule="exact"/>
        <w:ind w:left="671" w:right="953" w:firstLine="420"/>
        <w:jc w:val="both"/>
        <w:textAlignment w:val="auto"/>
        <w:rPr>
          <w:rFonts w:hint="eastAsia"/>
          <w:color w:val="auto"/>
          <w:highlight w:val="none"/>
          <w:lang w:val="zh-CN" w:eastAsia="zh-CN"/>
        </w:rPr>
      </w:pPr>
      <w:r>
        <w:rPr>
          <w:rFonts w:hint="eastAsia"/>
          <w:color w:val="auto"/>
          <w:highlight w:val="none"/>
          <w:lang w:val="zh-CN" w:eastAsia="zh-CN"/>
        </w:rPr>
        <w:t>请各投标人严格按照中央、省市关于做好新型冠状病毒感染的肺炎（下文简称“新冠肺炎”）疫情防控部署相关的防控工作文件等相关通知严格执行。</w:t>
      </w:r>
    </w:p>
    <w:p>
      <w:pPr>
        <w:pStyle w:val="28"/>
        <w:keepNext w:val="0"/>
        <w:keepLines w:val="0"/>
        <w:pageBreakBefore w:val="0"/>
        <w:numPr>
          <w:ilvl w:val="1"/>
          <w:numId w:val="1"/>
        </w:numPr>
        <w:tabs>
          <w:tab w:val="left" w:pos="1512"/>
        </w:tabs>
        <w:kinsoku/>
        <w:wordWrap/>
        <w:overflowPunct/>
        <w:topLinePunct w:val="0"/>
        <w:autoSpaceDE w:val="0"/>
        <w:autoSpaceDN w:val="0"/>
        <w:bidi w:val="0"/>
        <w:adjustRightInd/>
        <w:snapToGrid/>
        <w:spacing w:before="1" w:after="0" w:line="500" w:lineRule="exact"/>
        <w:ind w:left="671" w:right="953" w:firstLine="420"/>
        <w:jc w:val="both"/>
        <w:textAlignment w:val="auto"/>
        <w:rPr>
          <w:rFonts w:hint="eastAsia"/>
          <w:color w:val="auto"/>
          <w:highlight w:val="none"/>
          <w:lang w:val="zh-CN" w:eastAsia="zh-CN"/>
        </w:rPr>
      </w:pPr>
      <w:r>
        <w:rPr>
          <w:rFonts w:hint="eastAsia"/>
          <w:color w:val="auto"/>
          <w:highlight w:val="none"/>
          <w:lang w:val="zh-CN" w:eastAsia="zh-CN"/>
        </w:rPr>
        <w:t>由于测温和登记通道排队人数可能较多，请各相关人员务必做好形势评估，建议提前半个小时以上到达现场。体温检测和信息登记时间不计入开标评标签到时间。</w:t>
      </w:r>
    </w:p>
    <w:p>
      <w:pPr>
        <w:keepNext w:val="0"/>
        <w:keepLines w:val="0"/>
        <w:pageBreakBefore w:val="0"/>
        <w:numPr>
          <w:ilvl w:val="0"/>
          <w:numId w:val="1"/>
        </w:numPr>
        <w:kinsoku/>
        <w:wordWrap/>
        <w:overflowPunct/>
        <w:topLinePunct w:val="0"/>
        <w:autoSpaceDE w:val="0"/>
        <w:autoSpaceDN w:val="0"/>
        <w:bidi w:val="0"/>
        <w:adjustRightInd/>
        <w:snapToGrid/>
        <w:spacing w:line="500" w:lineRule="exact"/>
        <w:textAlignment w:val="auto"/>
        <w:rPr>
          <w:b/>
          <w:bCs/>
          <w:color w:val="auto"/>
          <w:sz w:val="24"/>
          <w:szCs w:val="24"/>
          <w:highlight w:val="none"/>
        </w:rPr>
      </w:pPr>
      <w:r>
        <w:rPr>
          <w:b/>
          <w:bCs/>
          <w:color w:val="auto"/>
          <w:sz w:val="24"/>
          <w:szCs w:val="24"/>
          <w:highlight w:val="none"/>
        </w:rPr>
        <w:t>联系方式</w:t>
      </w:r>
    </w:p>
    <w:p>
      <w:pPr>
        <w:pStyle w:val="14"/>
        <w:keepNext w:val="0"/>
        <w:keepLines w:val="0"/>
        <w:pageBreakBefore w:val="0"/>
        <w:kinsoku/>
        <w:wordWrap/>
        <w:overflowPunct/>
        <w:topLinePunct w:val="0"/>
        <w:autoSpaceDE w:val="0"/>
        <w:autoSpaceDN w:val="0"/>
        <w:bidi w:val="0"/>
        <w:adjustRightInd/>
        <w:snapToGrid/>
        <w:spacing w:before="178" w:line="500" w:lineRule="exact"/>
        <w:ind w:left="1091"/>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招标人：云浮美神养殖有限公司</w:t>
      </w:r>
    </w:p>
    <w:p>
      <w:pPr>
        <w:pStyle w:val="14"/>
        <w:keepNext w:val="0"/>
        <w:keepLines w:val="0"/>
        <w:pageBreakBefore w:val="0"/>
        <w:kinsoku/>
        <w:wordWrap/>
        <w:overflowPunct/>
        <w:topLinePunct w:val="0"/>
        <w:autoSpaceDE w:val="0"/>
        <w:autoSpaceDN w:val="0"/>
        <w:bidi w:val="0"/>
        <w:adjustRightInd/>
        <w:snapToGrid/>
        <w:spacing w:before="178" w:line="500" w:lineRule="exact"/>
        <w:ind w:left="1091"/>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联系人：</w:t>
      </w:r>
      <w:r>
        <w:rPr>
          <w:rFonts w:hint="eastAsia" w:ascii="宋体" w:hAnsi="宋体" w:eastAsia="宋体" w:cs="宋体"/>
          <w:color w:val="auto"/>
          <w:sz w:val="22"/>
          <w:szCs w:val="22"/>
          <w:highlight w:val="none"/>
          <w:lang w:val="en-US" w:eastAsia="zh-CN" w:bidi="zh-CN"/>
        </w:rPr>
        <w:t>李主任</w:t>
      </w:r>
      <w:r>
        <w:rPr>
          <w:rFonts w:hint="eastAsia" w:ascii="宋体" w:hAnsi="宋体" w:eastAsia="宋体" w:cs="宋体"/>
          <w:color w:val="auto"/>
          <w:sz w:val="22"/>
          <w:szCs w:val="22"/>
          <w:highlight w:val="none"/>
          <w:lang w:val="zh-CN" w:eastAsia="zh-CN" w:bidi="zh-CN"/>
        </w:rPr>
        <w:tab/>
      </w:r>
    </w:p>
    <w:p>
      <w:pPr>
        <w:pStyle w:val="14"/>
        <w:keepNext w:val="0"/>
        <w:keepLines w:val="0"/>
        <w:pageBreakBefore w:val="0"/>
        <w:kinsoku/>
        <w:wordWrap/>
        <w:overflowPunct/>
        <w:topLinePunct w:val="0"/>
        <w:autoSpaceDE w:val="0"/>
        <w:autoSpaceDN w:val="0"/>
        <w:bidi w:val="0"/>
        <w:adjustRightInd/>
        <w:snapToGrid/>
        <w:spacing w:before="178" w:line="500" w:lineRule="exact"/>
        <w:ind w:left="1091"/>
        <w:textAlignment w:val="auto"/>
        <w:rPr>
          <w:rFonts w:hint="default"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zh-CN" w:eastAsia="zh-CN" w:bidi="zh-CN"/>
        </w:rPr>
        <w:t>联系电话：</w:t>
      </w:r>
      <w:r>
        <w:rPr>
          <w:rFonts w:hint="eastAsia" w:ascii="宋体" w:hAnsi="宋体" w:eastAsia="宋体" w:cs="宋体"/>
          <w:color w:val="auto"/>
          <w:sz w:val="22"/>
          <w:szCs w:val="22"/>
          <w:highlight w:val="none"/>
          <w:lang w:val="en-US" w:eastAsia="zh-CN" w:bidi="zh-CN"/>
        </w:rPr>
        <w:t>15016696096</w:t>
      </w:r>
    </w:p>
    <w:p>
      <w:pPr>
        <w:pStyle w:val="14"/>
        <w:keepNext w:val="0"/>
        <w:keepLines w:val="0"/>
        <w:pageBreakBefore w:val="0"/>
        <w:tabs>
          <w:tab w:val="left" w:pos="4659"/>
        </w:tabs>
        <w:kinsoku/>
        <w:wordWrap/>
        <w:overflowPunct/>
        <w:topLinePunct w:val="0"/>
        <w:autoSpaceDE w:val="0"/>
        <w:autoSpaceDN w:val="0"/>
        <w:bidi w:val="0"/>
        <w:adjustRightInd/>
        <w:snapToGrid/>
        <w:spacing w:line="500" w:lineRule="exact"/>
        <w:ind w:left="1091" w:right="3471"/>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监（管）督机构：云浮美神养殖有限公司</w:t>
      </w:r>
      <w:r>
        <w:rPr>
          <w:rFonts w:hint="eastAsia" w:ascii="宋体" w:hAnsi="宋体" w:eastAsia="宋体" w:cs="宋体"/>
          <w:color w:val="auto"/>
          <w:sz w:val="22"/>
          <w:szCs w:val="22"/>
          <w:highlight w:val="none"/>
          <w:lang w:val="zh-CN" w:eastAsia="zh-CN" w:bidi="zh-CN"/>
        </w:rPr>
        <w:tab/>
      </w:r>
    </w:p>
    <w:p>
      <w:pPr>
        <w:pStyle w:val="14"/>
        <w:keepNext w:val="0"/>
        <w:keepLines w:val="0"/>
        <w:pageBreakBefore w:val="0"/>
        <w:tabs>
          <w:tab w:val="left" w:pos="4659"/>
        </w:tabs>
        <w:kinsoku/>
        <w:wordWrap/>
        <w:overflowPunct/>
        <w:topLinePunct w:val="0"/>
        <w:autoSpaceDE w:val="0"/>
        <w:autoSpaceDN w:val="0"/>
        <w:bidi w:val="0"/>
        <w:adjustRightInd/>
        <w:snapToGrid/>
        <w:spacing w:line="500" w:lineRule="exact"/>
        <w:ind w:left="1091" w:right="3471"/>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联系电话：</w:t>
      </w:r>
      <w:r>
        <w:rPr>
          <w:rFonts w:hint="eastAsia" w:ascii="宋体" w:hAnsi="宋体" w:eastAsia="宋体" w:cs="宋体"/>
          <w:color w:val="auto"/>
          <w:sz w:val="22"/>
          <w:szCs w:val="22"/>
          <w:highlight w:val="none"/>
          <w:lang w:val="en-US" w:eastAsia="zh-CN" w:bidi="zh-CN"/>
        </w:rPr>
        <w:t>15016696096</w:t>
      </w:r>
    </w:p>
    <w:p>
      <w:pPr>
        <w:pStyle w:val="14"/>
        <w:keepNext w:val="0"/>
        <w:keepLines w:val="0"/>
        <w:pageBreakBefore w:val="0"/>
        <w:tabs>
          <w:tab w:val="left" w:pos="4659"/>
        </w:tabs>
        <w:kinsoku/>
        <w:wordWrap/>
        <w:overflowPunct/>
        <w:topLinePunct w:val="0"/>
        <w:autoSpaceDE w:val="0"/>
        <w:autoSpaceDN w:val="0"/>
        <w:bidi w:val="0"/>
        <w:adjustRightInd/>
        <w:snapToGrid/>
        <w:spacing w:line="500" w:lineRule="exact"/>
        <w:ind w:left="1091" w:right="3471"/>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招标代理机构：广东晓君项目管理有限公司</w:t>
      </w:r>
    </w:p>
    <w:p>
      <w:pPr>
        <w:pStyle w:val="14"/>
        <w:keepNext w:val="0"/>
        <w:keepLines w:val="0"/>
        <w:pageBreakBefore w:val="0"/>
        <w:tabs>
          <w:tab w:val="left" w:pos="3085"/>
        </w:tabs>
        <w:kinsoku/>
        <w:wordWrap/>
        <w:overflowPunct/>
        <w:topLinePunct w:val="0"/>
        <w:autoSpaceDE w:val="0"/>
        <w:autoSpaceDN w:val="0"/>
        <w:bidi w:val="0"/>
        <w:adjustRightInd/>
        <w:snapToGrid/>
        <w:spacing w:line="500" w:lineRule="exact"/>
        <w:ind w:left="1091"/>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联系人：</w:t>
      </w:r>
      <w:r>
        <w:rPr>
          <w:rFonts w:hint="eastAsia" w:ascii="宋体" w:hAnsi="宋体" w:eastAsia="宋体" w:cs="宋体"/>
          <w:color w:val="auto"/>
          <w:sz w:val="22"/>
          <w:szCs w:val="22"/>
          <w:highlight w:val="none"/>
          <w:lang w:val="en-US" w:eastAsia="zh-CN" w:bidi="zh-CN"/>
        </w:rPr>
        <w:t>邓工</w:t>
      </w:r>
      <w:r>
        <w:rPr>
          <w:rFonts w:hint="eastAsia" w:ascii="宋体" w:hAnsi="宋体" w:eastAsia="宋体" w:cs="宋体"/>
          <w:color w:val="auto"/>
          <w:sz w:val="22"/>
          <w:szCs w:val="22"/>
          <w:highlight w:val="none"/>
          <w:lang w:val="zh-CN" w:eastAsia="zh-CN" w:bidi="zh-CN"/>
        </w:rPr>
        <w:tab/>
      </w:r>
    </w:p>
    <w:p>
      <w:pPr>
        <w:pStyle w:val="14"/>
        <w:keepNext w:val="0"/>
        <w:keepLines w:val="0"/>
        <w:pageBreakBefore w:val="0"/>
        <w:tabs>
          <w:tab w:val="left" w:pos="3085"/>
        </w:tabs>
        <w:kinsoku/>
        <w:wordWrap/>
        <w:overflowPunct/>
        <w:topLinePunct w:val="0"/>
        <w:autoSpaceDE w:val="0"/>
        <w:autoSpaceDN w:val="0"/>
        <w:bidi w:val="0"/>
        <w:adjustRightInd/>
        <w:snapToGrid/>
        <w:spacing w:line="500" w:lineRule="exact"/>
        <w:ind w:left="1091"/>
        <w:textAlignment w:val="auto"/>
        <w:rPr>
          <w:rFonts w:hint="default" w:eastAsia="宋体"/>
          <w:color w:val="auto"/>
          <w:highlight w:val="none"/>
          <w:lang w:val="en-US" w:eastAsia="zh-CN"/>
        </w:rPr>
      </w:pPr>
      <w:r>
        <w:rPr>
          <w:rFonts w:hint="eastAsia" w:ascii="宋体" w:hAnsi="宋体" w:eastAsia="宋体" w:cs="宋体"/>
          <w:color w:val="auto"/>
          <w:sz w:val="22"/>
          <w:szCs w:val="22"/>
          <w:highlight w:val="none"/>
          <w:lang w:val="zh-CN" w:eastAsia="zh-CN" w:bidi="zh-CN"/>
        </w:rPr>
        <w:t>联系电话：0766-</w:t>
      </w:r>
      <w:r>
        <w:rPr>
          <w:rFonts w:hint="eastAsia" w:ascii="宋体" w:hAnsi="宋体" w:eastAsia="宋体" w:cs="宋体"/>
          <w:color w:val="auto"/>
          <w:sz w:val="22"/>
          <w:szCs w:val="22"/>
          <w:highlight w:val="none"/>
          <w:lang w:val="en-US" w:eastAsia="zh-CN" w:bidi="zh-CN"/>
        </w:rPr>
        <w:t>8399669</w:t>
      </w:r>
    </w:p>
    <w:p>
      <w:pPr>
        <w:pStyle w:val="14"/>
        <w:keepNext w:val="0"/>
        <w:keepLines w:val="0"/>
        <w:pageBreakBefore w:val="0"/>
        <w:kinsoku/>
        <w:wordWrap/>
        <w:overflowPunct/>
        <w:topLinePunct w:val="0"/>
        <w:autoSpaceDE w:val="0"/>
        <w:autoSpaceDN w:val="0"/>
        <w:bidi w:val="0"/>
        <w:adjustRightInd/>
        <w:snapToGrid/>
        <w:spacing w:before="7" w:line="500" w:lineRule="exact"/>
        <w:textAlignment w:val="auto"/>
        <w:rPr>
          <w:rFonts w:hint="default" w:eastAsia="宋体"/>
          <w:color w:val="auto"/>
          <w:sz w:val="15"/>
          <w:highlight w:val="none"/>
          <w:lang w:val="en-US" w:eastAsia="zh-CN"/>
        </w:rPr>
      </w:pPr>
    </w:p>
    <w:p>
      <w:pPr>
        <w:pStyle w:val="14"/>
        <w:keepNext w:val="0"/>
        <w:keepLines w:val="0"/>
        <w:pageBreakBefore w:val="0"/>
        <w:tabs>
          <w:tab w:val="left" w:pos="1511"/>
          <w:tab w:val="left" w:pos="6339"/>
        </w:tabs>
        <w:kinsoku/>
        <w:wordWrap/>
        <w:overflowPunct/>
        <w:topLinePunct w:val="0"/>
        <w:autoSpaceDE w:val="0"/>
        <w:autoSpaceDN w:val="0"/>
        <w:bidi w:val="0"/>
        <w:adjustRightInd/>
        <w:snapToGrid/>
        <w:spacing w:line="500" w:lineRule="exact"/>
        <w:ind w:left="1091" w:right="70" w:rightChars="0"/>
        <w:jc w:val="right"/>
        <w:textAlignment w:val="auto"/>
        <w:rPr>
          <w:b/>
          <w:bCs/>
          <w:color w:val="auto"/>
          <w:highlight w:val="none"/>
        </w:rPr>
      </w:pPr>
      <w:r>
        <w:rPr>
          <w:rFonts w:hint="eastAsia"/>
          <w:b/>
          <w:bCs/>
          <w:color w:val="auto"/>
          <w:highlight w:val="none"/>
          <w:lang w:val="en-US" w:eastAsia="zh-CN"/>
        </w:rPr>
        <w:t>发布</w:t>
      </w:r>
      <w:r>
        <w:rPr>
          <w:b/>
          <w:bCs/>
          <w:color w:val="auto"/>
          <w:highlight w:val="none"/>
        </w:rPr>
        <w:t>日期：</w:t>
      </w:r>
      <w:r>
        <w:rPr>
          <w:rFonts w:hint="eastAsia"/>
          <w:b/>
          <w:bCs/>
          <w:color w:val="auto"/>
          <w:highlight w:val="none"/>
          <w:lang w:eastAsia="zh-CN"/>
        </w:rPr>
        <w:t>202</w:t>
      </w:r>
      <w:r>
        <w:rPr>
          <w:rFonts w:hint="eastAsia"/>
          <w:b/>
          <w:bCs/>
          <w:color w:val="auto"/>
          <w:highlight w:val="none"/>
          <w:lang w:val="en-US" w:eastAsia="zh-CN"/>
        </w:rPr>
        <w:t>2</w:t>
      </w:r>
      <w:r>
        <w:rPr>
          <w:rFonts w:hint="eastAsia"/>
          <w:b/>
          <w:bCs/>
          <w:color w:val="auto"/>
          <w:highlight w:val="none"/>
          <w:lang w:eastAsia="zh-CN"/>
        </w:rPr>
        <w:t>年</w:t>
      </w:r>
      <w:r>
        <w:rPr>
          <w:rFonts w:hint="eastAsia"/>
          <w:b/>
          <w:bCs/>
          <w:color w:val="auto"/>
          <w:highlight w:val="none"/>
          <w:lang w:val="en-US" w:eastAsia="zh-CN"/>
        </w:rPr>
        <w:t>8</w:t>
      </w:r>
      <w:r>
        <w:rPr>
          <w:rFonts w:hint="eastAsia"/>
          <w:b/>
          <w:bCs/>
          <w:color w:val="auto"/>
          <w:highlight w:val="none"/>
          <w:lang w:eastAsia="zh-CN"/>
        </w:rPr>
        <w:t>月</w:t>
      </w:r>
      <w:r>
        <w:rPr>
          <w:rFonts w:hint="eastAsia"/>
          <w:b/>
          <w:bCs/>
          <w:color w:val="auto"/>
          <w:highlight w:val="none"/>
          <w:lang w:val="en-US" w:eastAsia="zh-CN"/>
        </w:rPr>
        <w:t>22</w:t>
      </w:r>
      <w:r>
        <w:rPr>
          <w:b/>
          <w:bCs/>
          <w:color w:val="auto"/>
          <w:highlight w:val="none"/>
        </w:rPr>
        <w:t>日</w:t>
      </w:r>
    </w:p>
    <w:p>
      <w:pPr>
        <w:spacing w:after="0" w:line="417" w:lineRule="auto"/>
        <w:rPr>
          <w:color w:val="auto"/>
          <w:highlight w:val="none"/>
        </w:rPr>
        <w:sectPr>
          <w:footerReference r:id="rId6" w:type="default"/>
          <w:pgSz w:w="11910" w:h="16840"/>
          <w:pgMar w:top="1440" w:right="1080" w:bottom="1440" w:left="1080" w:header="0" w:footer="979" w:gutter="0"/>
          <w:pgBorders>
            <w:top w:val="none" w:sz="0" w:space="0"/>
            <w:left w:val="none" w:sz="0" w:space="0"/>
            <w:bottom w:val="none" w:sz="0" w:space="0"/>
            <w:right w:val="none" w:sz="0" w:space="0"/>
          </w:pgBorders>
          <w:pgNumType w:fmt="decimal" w:start="1"/>
          <w:cols w:space="720" w:num="1"/>
        </w:sectPr>
      </w:pPr>
    </w:p>
    <w:p>
      <w:pPr>
        <w:pStyle w:val="3"/>
        <w:spacing w:before="28"/>
        <w:ind w:right="284"/>
        <w:outlineLvl w:val="0"/>
        <w:rPr>
          <w:color w:val="auto"/>
          <w:highlight w:val="none"/>
        </w:rPr>
      </w:pPr>
      <w:bookmarkStart w:id="4" w:name="_Toc31263"/>
      <w:r>
        <w:rPr>
          <w:color w:val="auto"/>
          <w:highlight w:val="none"/>
        </w:rPr>
        <w:t>第二章 投标人须知</w:t>
      </w:r>
      <w:bookmarkEnd w:id="4"/>
    </w:p>
    <w:p>
      <w:pPr>
        <w:pStyle w:val="14"/>
        <w:spacing w:before="12"/>
        <w:rPr>
          <w:b/>
          <w:color w:val="auto"/>
          <w:sz w:val="37"/>
          <w:highlight w:val="none"/>
        </w:rPr>
      </w:pPr>
    </w:p>
    <w:p>
      <w:pPr>
        <w:bidi w:val="0"/>
        <w:jc w:val="center"/>
        <w:rPr>
          <w:color w:val="auto"/>
          <w:sz w:val="30"/>
          <w:szCs w:val="30"/>
          <w:highlight w:val="none"/>
        </w:rPr>
      </w:pPr>
      <w:r>
        <w:rPr>
          <w:color w:val="auto"/>
          <w:sz w:val="30"/>
          <w:szCs w:val="30"/>
          <w:highlight w:val="none"/>
        </w:rPr>
        <w:t>投标人须知前附表</w:t>
      </w:r>
    </w:p>
    <w:p>
      <w:pPr>
        <w:pStyle w:val="14"/>
        <w:spacing w:before="4"/>
        <w:rPr>
          <w:color w:val="auto"/>
          <w:sz w:val="9"/>
          <w:highlight w:val="none"/>
        </w:rPr>
      </w:pPr>
    </w:p>
    <w:tbl>
      <w:tblPr>
        <w:tblStyle w:val="23"/>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916"/>
        <w:gridCol w:w="2065"/>
        <w:gridCol w:w="4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b/>
                <w:bCs/>
                <w:color w:val="auto"/>
                <w:sz w:val="22"/>
                <w:szCs w:val="22"/>
                <w:highlight w:val="none"/>
              </w:rPr>
            </w:pPr>
            <w:r>
              <w:rPr>
                <w:b/>
                <w:bCs/>
                <w:color w:val="auto"/>
                <w:sz w:val="22"/>
                <w:szCs w:val="22"/>
                <w:highlight w:val="none"/>
              </w:rPr>
              <w:t>条款号</w:t>
            </w:r>
          </w:p>
        </w:tc>
        <w:tc>
          <w:tcPr>
            <w:tcW w:w="1916" w:type="dxa"/>
            <w:vAlign w:val="center"/>
          </w:tcPr>
          <w:p>
            <w:pPr>
              <w:bidi w:val="0"/>
              <w:jc w:val="center"/>
              <w:rPr>
                <w:b/>
                <w:bCs/>
                <w:color w:val="auto"/>
                <w:sz w:val="22"/>
                <w:szCs w:val="22"/>
                <w:highlight w:val="none"/>
              </w:rPr>
            </w:pPr>
            <w:r>
              <w:rPr>
                <w:b/>
                <w:bCs/>
                <w:color w:val="auto"/>
                <w:sz w:val="22"/>
                <w:szCs w:val="22"/>
                <w:highlight w:val="none"/>
              </w:rPr>
              <w:t>条</w:t>
            </w:r>
            <w:r>
              <w:rPr>
                <w:rFonts w:hint="eastAsia"/>
                <w:b/>
                <w:bCs/>
                <w:color w:val="auto"/>
                <w:sz w:val="22"/>
                <w:szCs w:val="22"/>
                <w:highlight w:val="none"/>
                <w:lang w:val="en-US" w:eastAsia="zh-CN"/>
              </w:rPr>
              <w:t xml:space="preserve">  </w:t>
            </w:r>
            <w:r>
              <w:rPr>
                <w:b/>
                <w:bCs/>
                <w:color w:val="auto"/>
                <w:sz w:val="22"/>
                <w:szCs w:val="22"/>
                <w:highlight w:val="none"/>
              </w:rPr>
              <w:t>款</w:t>
            </w:r>
            <w:r>
              <w:rPr>
                <w:b/>
                <w:bCs/>
                <w:color w:val="auto"/>
                <w:sz w:val="22"/>
                <w:szCs w:val="22"/>
                <w:highlight w:val="none"/>
              </w:rPr>
              <w:tab/>
            </w:r>
            <w:r>
              <w:rPr>
                <w:rFonts w:hint="eastAsia"/>
                <w:b/>
                <w:bCs/>
                <w:color w:val="auto"/>
                <w:sz w:val="22"/>
                <w:szCs w:val="22"/>
                <w:highlight w:val="none"/>
                <w:lang w:val="en-US" w:eastAsia="zh-CN"/>
              </w:rPr>
              <w:t xml:space="preserve"> </w:t>
            </w:r>
            <w:r>
              <w:rPr>
                <w:b/>
                <w:bCs/>
                <w:color w:val="auto"/>
                <w:sz w:val="22"/>
                <w:szCs w:val="22"/>
                <w:highlight w:val="none"/>
              </w:rPr>
              <w:t>名</w:t>
            </w:r>
            <w:r>
              <w:rPr>
                <w:rFonts w:hint="eastAsia"/>
                <w:b/>
                <w:bCs/>
                <w:color w:val="auto"/>
                <w:sz w:val="22"/>
                <w:szCs w:val="22"/>
                <w:highlight w:val="none"/>
                <w:lang w:val="en-US" w:eastAsia="zh-CN"/>
              </w:rPr>
              <w:t xml:space="preserve">  </w:t>
            </w:r>
            <w:r>
              <w:rPr>
                <w:b/>
                <w:bCs/>
                <w:color w:val="auto"/>
                <w:sz w:val="22"/>
                <w:szCs w:val="22"/>
                <w:highlight w:val="none"/>
              </w:rPr>
              <w:t>称</w:t>
            </w:r>
          </w:p>
        </w:tc>
        <w:tc>
          <w:tcPr>
            <w:tcW w:w="7063" w:type="dxa"/>
            <w:gridSpan w:val="2"/>
            <w:vAlign w:val="center"/>
          </w:tcPr>
          <w:p>
            <w:pPr>
              <w:bidi w:val="0"/>
              <w:jc w:val="center"/>
              <w:rPr>
                <w:b/>
                <w:bCs/>
                <w:color w:val="auto"/>
                <w:sz w:val="22"/>
                <w:szCs w:val="22"/>
                <w:highlight w:val="none"/>
              </w:rPr>
            </w:pPr>
            <w:r>
              <w:rPr>
                <w:b/>
                <w:bCs/>
                <w:color w:val="auto"/>
                <w:sz w:val="22"/>
                <w:szCs w:val="22"/>
                <w:highlight w:val="none"/>
              </w:rPr>
              <w:t>编</w:t>
            </w:r>
            <w:r>
              <w:rPr>
                <w:b/>
                <w:bCs/>
                <w:color w:val="auto"/>
                <w:sz w:val="22"/>
                <w:szCs w:val="22"/>
                <w:highlight w:val="none"/>
              </w:rPr>
              <w:tab/>
            </w:r>
            <w:r>
              <w:rPr>
                <w:b/>
                <w:bCs/>
                <w:color w:val="auto"/>
                <w:sz w:val="22"/>
                <w:szCs w:val="22"/>
                <w:highlight w:val="none"/>
              </w:rPr>
              <w:t>列</w:t>
            </w:r>
            <w:r>
              <w:rPr>
                <w:b/>
                <w:bCs/>
                <w:color w:val="auto"/>
                <w:sz w:val="22"/>
                <w:szCs w:val="22"/>
                <w:highlight w:val="none"/>
              </w:rPr>
              <w:tab/>
            </w:r>
            <w:r>
              <w:rPr>
                <w:b/>
                <w:bCs/>
                <w:color w:val="auto"/>
                <w:sz w:val="22"/>
                <w:szCs w:val="22"/>
                <w:highlight w:val="none"/>
              </w:rPr>
              <w:t>内</w:t>
            </w:r>
            <w:r>
              <w:rPr>
                <w:b/>
                <w:bCs/>
                <w:color w:val="auto"/>
                <w:sz w:val="22"/>
                <w:szCs w:val="22"/>
                <w:highlight w:val="none"/>
              </w:rPr>
              <w:tab/>
            </w:r>
            <w:r>
              <w:rPr>
                <w:b/>
                <w:bCs/>
                <w:color w:val="auto"/>
                <w:sz w:val="22"/>
                <w:szCs w:val="22"/>
                <w:highlight w:val="none"/>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1.1.2</w:t>
            </w:r>
          </w:p>
        </w:tc>
        <w:tc>
          <w:tcPr>
            <w:tcW w:w="1916"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招标人</w:t>
            </w:r>
          </w:p>
        </w:tc>
        <w:tc>
          <w:tcPr>
            <w:tcW w:w="7063" w:type="dxa"/>
            <w:gridSpan w:val="2"/>
            <w:vAlign w:val="center"/>
          </w:tcPr>
          <w:p>
            <w:pPr>
              <w:pStyle w:val="29"/>
              <w:spacing w:before="79"/>
              <w:ind w:left="106"/>
              <w:rPr>
                <w:rFonts w:hint="eastAsia" w:eastAsia="宋体"/>
                <w:color w:val="auto"/>
                <w:sz w:val="22"/>
                <w:szCs w:val="22"/>
                <w:highlight w:val="none"/>
                <w:lang w:eastAsia="zh-CN"/>
              </w:rPr>
            </w:pPr>
            <w:r>
              <w:rPr>
                <w:color w:val="auto"/>
                <w:sz w:val="22"/>
                <w:szCs w:val="22"/>
                <w:highlight w:val="none"/>
              </w:rPr>
              <w:t>招标人：</w:t>
            </w:r>
            <w:r>
              <w:rPr>
                <w:rFonts w:hint="eastAsia"/>
                <w:color w:val="auto"/>
                <w:sz w:val="22"/>
                <w:szCs w:val="22"/>
                <w:highlight w:val="none"/>
                <w:lang w:eastAsia="zh-CN"/>
              </w:rPr>
              <w:t>云浮美神养殖有限公司</w:t>
            </w:r>
          </w:p>
          <w:p>
            <w:pPr>
              <w:pStyle w:val="29"/>
              <w:tabs>
                <w:tab w:val="left" w:pos="2523"/>
              </w:tabs>
              <w:spacing w:before="88"/>
              <w:ind w:left="106"/>
              <w:rPr>
                <w:rFonts w:hint="eastAsia" w:eastAsia="宋体"/>
                <w:color w:val="auto"/>
                <w:sz w:val="22"/>
                <w:szCs w:val="22"/>
                <w:highlight w:val="none"/>
                <w:lang w:eastAsia="zh-CN"/>
              </w:rPr>
            </w:pPr>
            <w:r>
              <w:rPr>
                <w:color w:val="auto"/>
                <w:sz w:val="22"/>
                <w:szCs w:val="22"/>
                <w:highlight w:val="none"/>
              </w:rPr>
              <w:t>联系人：</w:t>
            </w:r>
            <w:r>
              <w:rPr>
                <w:rFonts w:hint="eastAsia"/>
                <w:color w:val="auto"/>
                <w:sz w:val="22"/>
                <w:szCs w:val="22"/>
                <w:highlight w:val="none"/>
                <w:lang w:val="en-US" w:eastAsia="zh-CN"/>
              </w:rPr>
              <w:t xml:space="preserve">李主任 </w:t>
            </w:r>
            <w:r>
              <w:rPr>
                <w:color w:val="auto"/>
                <w:sz w:val="22"/>
                <w:szCs w:val="22"/>
                <w:highlight w:val="none"/>
              </w:rPr>
              <w:tab/>
            </w:r>
            <w:r>
              <w:rPr>
                <w:color w:val="auto"/>
                <w:sz w:val="22"/>
                <w:szCs w:val="22"/>
                <w:highlight w:val="none"/>
              </w:rPr>
              <w:t>联系电话：</w:t>
            </w:r>
            <w:r>
              <w:rPr>
                <w:rFonts w:hint="eastAsia"/>
                <w:color w:val="auto"/>
                <w:sz w:val="22"/>
                <w:szCs w:val="22"/>
                <w:highlight w:val="none"/>
                <w:lang w:val="en-US" w:eastAsia="zh-CN"/>
              </w:rPr>
              <w:t xml:space="preserve">15016696096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1.1.3</w:t>
            </w:r>
          </w:p>
        </w:tc>
        <w:tc>
          <w:tcPr>
            <w:tcW w:w="1916"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招标代机构</w:t>
            </w:r>
          </w:p>
        </w:tc>
        <w:tc>
          <w:tcPr>
            <w:tcW w:w="7063" w:type="dxa"/>
            <w:gridSpan w:val="2"/>
            <w:vAlign w:val="center"/>
          </w:tcPr>
          <w:p>
            <w:pPr>
              <w:pStyle w:val="29"/>
              <w:spacing w:before="44"/>
              <w:ind w:left="106"/>
              <w:rPr>
                <w:rFonts w:hint="eastAsia" w:eastAsia="宋体"/>
                <w:color w:val="auto"/>
                <w:sz w:val="22"/>
                <w:szCs w:val="22"/>
                <w:highlight w:val="none"/>
                <w:lang w:eastAsia="zh-CN"/>
              </w:rPr>
            </w:pPr>
            <w:r>
              <w:rPr>
                <w:color w:val="auto"/>
                <w:sz w:val="22"/>
                <w:szCs w:val="22"/>
                <w:highlight w:val="none"/>
              </w:rPr>
              <w:t>招标代理机构：</w:t>
            </w:r>
            <w:r>
              <w:rPr>
                <w:rFonts w:hint="eastAsia"/>
                <w:color w:val="auto"/>
                <w:sz w:val="22"/>
                <w:szCs w:val="22"/>
                <w:highlight w:val="none"/>
                <w:lang w:eastAsia="zh-CN"/>
              </w:rPr>
              <w:t>广东晓君项目管理有限公司</w:t>
            </w:r>
          </w:p>
          <w:p>
            <w:pPr>
              <w:pStyle w:val="29"/>
              <w:tabs>
                <w:tab w:val="left" w:pos="2523"/>
              </w:tabs>
              <w:spacing w:before="88"/>
              <w:ind w:left="106"/>
              <w:rPr>
                <w:rFonts w:hint="eastAsia" w:eastAsia="宋体"/>
                <w:color w:val="auto"/>
                <w:sz w:val="22"/>
                <w:szCs w:val="22"/>
                <w:highlight w:val="none"/>
                <w:lang w:eastAsia="zh-CN"/>
              </w:rPr>
            </w:pPr>
            <w:r>
              <w:rPr>
                <w:color w:val="auto"/>
                <w:sz w:val="22"/>
                <w:szCs w:val="22"/>
                <w:highlight w:val="none"/>
              </w:rPr>
              <w:t>联系人：</w:t>
            </w:r>
            <w:r>
              <w:rPr>
                <w:rFonts w:hint="eastAsia"/>
                <w:color w:val="auto"/>
                <w:sz w:val="22"/>
                <w:szCs w:val="22"/>
                <w:highlight w:val="none"/>
                <w:lang w:eastAsia="zh-CN"/>
              </w:rPr>
              <w:t>邓</w:t>
            </w:r>
            <w:r>
              <w:rPr>
                <w:rFonts w:hint="eastAsia"/>
                <w:color w:val="auto"/>
                <w:sz w:val="22"/>
                <w:szCs w:val="22"/>
                <w:highlight w:val="none"/>
                <w:lang w:val="en-US" w:eastAsia="zh-CN"/>
              </w:rPr>
              <w:t>工</w:t>
            </w:r>
            <w:r>
              <w:rPr>
                <w:color w:val="auto"/>
                <w:sz w:val="22"/>
                <w:szCs w:val="22"/>
                <w:highlight w:val="none"/>
              </w:rPr>
              <w:tab/>
            </w:r>
            <w:r>
              <w:rPr>
                <w:color w:val="auto"/>
                <w:sz w:val="22"/>
                <w:szCs w:val="22"/>
                <w:highlight w:val="none"/>
              </w:rPr>
              <w:t>联系电话：</w:t>
            </w:r>
            <w:r>
              <w:rPr>
                <w:rFonts w:hint="eastAsia"/>
                <w:color w:val="auto"/>
                <w:sz w:val="22"/>
                <w:szCs w:val="22"/>
                <w:highlight w:val="none"/>
                <w:lang w:eastAsia="zh-CN"/>
              </w:rPr>
              <w:t>0766-8399669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1.1.4</w:t>
            </w:r>
          </w:p>
        </w:tc>
        <w:tc>
          <w:tcPr>
            <w:tcW w:w="1916" w:type="dxa"/>
            <w:vAlign w:val="center"/>
          </w:tcPr>
          <w:p>
            <w:pPr>
              <w:bidi w:val="0"/>
              <w:jc w:val="center"/>
              <w:rPr>
                <w:rFonts w:hint="eastAsia" w:eastAsia="宋体"/>
                <w:color w:val="auto"/>
                <w:sz w:val="22"/>
                <w:szCs w:val="22"/>
                <w:highlight w:val="none"/>
                <w:lang w:eastAsia="zh-CN"/>
              </w:rPr>
            </w:pPr>
            <w:r>
              <w:rPr>
                <w:rFonts w:hint="eastAsia"/>
                <w:color w:val="auto"/>
                <w:sz w:val="22"/>
                <w:szCs w:val="22"/>
                <w:highlight w:val="none"/>
                <w:lang w:eastAsia="zh-CN"/>
              </w:rPr>
              <w:t>工程名称</w:t>
            </w:r>
          </w:p>
        </w:tc>
        <w:tc>
          <w:tcPr>
            <w:tcW w:w="7063" w:type="dxa"/>
            <w:gridSpan w:val="2"/>
            <w:vAlign w:val="center"/>
          </w:tcPr>
          <w:p>
            <w:pPr>
              <w:pStyle w:val="29"/>
              <w:spacing w:before="9"/>
              <w:rPr>
                <w:color w:val="auto"/>
                <w:sz w:val="22"/>
                <w:szCs w:val="22"/>
                <w:highlight w:val="none"/>
              </w:rPr>
            </w:pPr>
          </w:p>
          <w:p>
            <w:pPr>
              <w:pStyle w:val="29"/>
              <w:ind w:left="106"/>
              <w:rPr>
                <w:color w:val="auto"/>
                <w:sz w:val="22"/>
                <w:szCs w:val="22"/>
                <w:highlight w:val="none"/>
              </w:rPr>
            </w:pPr>
            <w:r>
              <w:rPr>
                <w:rFonts w:hint="eastAsia"/>
                <w:color w:val="auto"/>
                <w:sz w:val="22"/>
                <w:szCs w:val="22"/>
                <w:highlight w:val="none"/>
                <w:lang w:val="en-US" w:eastAsia="zh-CN"/>
              </w:rPr>
              <w:t>云安区生猪产业园—优质生猪标准化规模养殖基地项目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1.1.5</w:t>
            </w:r>
          </w:p>
        </w:tc>
        <w:tc>
          <w:tcPr>
            <w:tcW w:w="1916" w:type="dxa"/>
            <w:vAlign w:val="center"/>
          </w:tcPr>
          <w:p>
            <w:pPr>
              <w:bidi w:val="0"/>
              <w:jc w:val="center"/>
              <w:rPr>
                <w:rFonts w:hint="default"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项目编号</w:t>
            </w:r>
          </w:p>
        </w:tc>
        <w:tc>
          <w:tcPr>
            <w:tcW w:w="7063" w:type="dxa"/>
            <w:gridSpan w:val="2"/>
            <w:vAlign w:val="center"/>
          </w:tcPr>
          <w:p>
            <w:pPr>
              <w:pStyle w:val="29"/>
              <w:ind w:left="106"/>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GDXJ2022GGK3037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rFonts w:hint="eastAsia" w:eastAsia="宋体"/>
                <w:color w:val="auto"/>
                <w:sz w:val="22"/>
                <w:szCs w:val="22"/>
                <w:highlight w:val="none"/>
                <w:lang w:eastAsia="zh-CN"/>
              </w:rPr>
            </w:pPr>
            <w:r>
              <w:rPr>
                <w:color w:val="auto"/>
                <w:sz w:val="22"/>
                <w:szCs w:val="22"/>
                <w:highlight w:val="none"/>
              </w:rPr>
              <w:t>1.1.</w:t>
            </w:r>
            <w:r>
              <w:rPr>
                <w:rFonts w:hint="eastAsia"/>
                <w:color w:val="auto"/>
                <w:sz w:val="22"/>
                <w:szCs w:val="22"/>
                <w:highlight w:val="none"/>
                <w:lang w:val="en-US" w:eastAsia="zh-CN"/>
              </w:rPr>
              <w:t>6</w:t>
            </w:r>
          </w:p>
        </w:tc>
        <w:tc>
          <w:tcPr>
            <w:tcW w:w="1916" w:type="dxa"/>
            <w:vAlign w:val="center"/>
          </w:tcPr>
          <w:p>
            <w:pPr>
              <w:bidi w:val="0"/>
              <w:jc w:val="center"/>
              <w:rPr>
                <w:color w:val="auto"/>
                <w:sz w:val="22"/>
                <w:szCs w:val="22"/>
                <w:highlight w:val="none"/>
              </w:rPr>
            </w:pPr>
            <w:r>
              <w:rPr>
                <w:color w:val="auto"/>
                <w:sz w:val="22"/>
                <w:szCs w:val="22"/>
                <w:highlight w:val="none"/>
              </w:rPr>
              <w:t>建设地点</w:t>
            </w:r>
          </w:p>
        </w:tc>
        <w:tc>
          <w:tcPr>
            <w:tcW w:w="7063" w:type="dxa"/>
            <w:gridSpan w:val="2"/>
            <w:vAlign w:val="center"/>
          </w:tcPr>
          <w:p>
            <w:pPr>
              <w:pStyle w:val="29"/>
              <w:spacing w:before="145"/>
              <w:ind w:left="106"/>
              <w:rPr>
                <w:rFonts w:hint="eastAsia" w:eastAsia="宋体"/>
                <w:color w:val="auto"/>
                <w:sz w:val="22"/>
                <w:szCs w:val="22"/>
                <w:highlight w:val="none"/>
                <w:lang w:eastAsia="zh-CN"/>
              </w:rPr>
            </w:pPr>
            <w:r>
              <w:rPr>
                <w:rFonts w:hint="eastAsia" w:ascii="宋体" w:hAnsi="宋体" w:eastAsia="宋体" w:cs="宋体"/>
                <w:color w:val="auto"/>
                <w:sz w:val="22"/>
                <w:szCs w:val="22"/>
                <w:highlight w:val="none"/>
                <w:lang w:val="en-US" w:eastAsia="zh-CN"/>
              </w:rPr>
              <w:t>云浮市云安区高村镇清水村南蛇坑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1.2.1</w:t>
            </w:r>
          </w:p>
        </w:tc>
        <w:tc>
          <w:tcPr>
            <w:tcW w:w="1916" w:type="dxa"/>
            <w:vAlign w:val="center"/>
          </w:tcPr>
          <w:p>
            <w:pPr>
              <w:bidi w:val="0"/>
              <w:jc w:val="center"/>
              <w:rPr>
                <w:color w:val="auto"/>
                <w:sz w:val="22"/>
                <w:szCs w:val="22"/>
                <w:highlight w:val="none"/>
              </w:rPr>
            </w:pPr>
            <w:r>
              <w:rPr>
                <w:color w:val="auto"/>
                <w:sz w:val="22"/>
                <w:szCs w:val="22"/>
                <w:highlight w:val="none"/>
              </w:rPr>
              <w:t>资金来源</w:t>
            </w:r>
          </w:p>
        </w:tc>
        <w:tc>
          <w:tcPr>
            <w:tcW w:w="7063" w:type="dxa"/>
            <w:gridSpan w:val="2"/>
            <w:vAlign w:val="center"/>
          </w:tcPr>
          <w:p>
            <w:pPr>
              <w:pStyle w:val="29"/>
              <w:spacing w:before="10"/>
              <w:rPr>
                <w:color w:val="auto"/>
                <w:sz w:val="22"/>
                <w:szCs w:val="22"/>
                <w:highlight w:val="none"/>
              </w:rPr>
            </w:pPr>
          </w:p>
          <w:p>
            <w:pPr>
              <w:pStyle w:val="29"/>
              <w:ind w:left="106"/>
              <w:rPr>
                <w:rFonts w:hint="eastAsia" w:eastAsia="宋体"/>
                <w:color w:val="auto"/>
                <w:sz w:val="22"/>
                <w:szCs w:val="22"/>
                <w:highlight w:val="none"/>
                <w:lang w:val="en-US" w:eastAsia="zh-CN"/>
              </w:rPr>
            </w:pPr>
            <w:r>
              <w:rPr>
                <w:color w:val="auto"/>
                <w:sz w:val="22"/>
                <w:szCs w:val="22"/>
                <w:highlight w:val="none"/>
              </w:rPr>
              <w:t>由招标人通过自有资金方式解决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1.2.2</w:t>
            </w:r>
          </w:p>
        </w:tc>
        <w:tc>
          <w:tcPr>
            <w:tcW w:w="1916" w:type="dxa"/>
            <w:vAlign w:val="center"/>
          </w:tcPr>
          <w:p>
            <w:pPr>
              <w:bidi w:val="0"/>
              <w:jc w:val="center"/>
              <w:rPr>
                <w:color w:val="auto"/>
                <w:sz w:val="22"/>
                <w:szCs w:val="22"/>
                <w:highlight w:val="none"/>
              </w:rPr>
            </w:pPr>
            <w:r>
              <w:rPr>
                <w:color w:val="auto"/>
                <w:sz w:val="22"/>
                <w:szCs w:val="22"/>
                <w:highlight w:val="none"/>
              </w:rPr>
              <w:t>出资比例</w:t>
            </w:r>
          </w:p>
        </w:tc>
        <w:tc>
          <w:tcPr>
            <w:tcW w:w="7063" w:type="dxa"/>
            <w:gridSpan w:val="2"/>
            <w:vAlign w:val="center"/>
          </w:tcPr>
          <w:p>
            <w:pPr>
              <w:pStyle w:val="29"/>
              <w:spacing w:before="4"/>
              <w:rPr>
                <w:color w:val="auto"/>
                <w:sz w:val="22"/>
                <w:szCs w:val="22"/>
                <w:highlight w:val="none"/>
              </w:rPr>
            </w:pPr>
          </w:p>
          <w:p>
            <w:pPr>
              <w:pStyle w:val="29"/>
              <w:spacing w:before="1"/>
              <w:ind w:left="106"/>
              <w:rPr>
                <w:color w:val="auto"/>
                <w:sz w:val="22"/>
                <w:szCs w:val="22"/>
                <w:highlight w:val="none"/>
              </w:rPr>
            </w:pPr>
            <w:r>
              <w:rPr>
                <w:color w:val="auto"/>
                <w:sz w:val="22"/>
                <w:szCs w:val="22"/>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1.2.3</w:t>
            </w:r>
          </w:p>
        </w:tc>
        <w:tc>
          <w:tcPr>
            <w:tcW w:w="1916" w:type="dxa"/>
            <w:vAlign w:val="center"/>
          </w:tcPr>
          <w:p>
            <w:pPr>
              <w:bidi w:val="0"/>
              <w:jc w:val="center"/>
              <w:rPr>
                <w:color w:val="auto"/>
                <w:sz w:val="22"/>
                <w:szCs w:val="22"/>
                <w:highlight w:val="none"/>
              </w:rPr>
            </w:pPr>
            <w:r>
              <w:rPr>
                <w:color w:val="auto"/>
                <w:sz w:val="22"/>
                <w:szCs w:val="22"/>
                <w:highlight w:val="none"/>
              </w:rPr>
              <w:t>资金落实情况</w:t>
            </w:r>
          </w:p>
        </w:tc>
        <w:tc>
          <w:tcPr>
            <w:tcW w:w="7063" w:type="dxa"/>
            <w:gridSpan w:val="2"/>
            <w:vAlign w:val="center"/>
          </w:tcPr>
          <w:p>
            <w:pPr>
              <w:pStyle w:val="29"/>
              <w:spacing w:before="9"/>
              <w:rPr>
                <w:color w:val="auto"/>
                <w:sz w:val="22"/>
                <w:szCs w:val="22"/>
                <w:highlight w:val="none"/>
              </w:rPr>
            </w:pPr>
          </w:p>
          <w:p>
            <w:pPr>
              <w:pStyle w:val="29"/>
              <w:spacing w:before="1"/>
              <w:ind w:left="106"/>
              <w:rPr>
                <w:color w:val="auto"/>
                <w:sz w:val="22"/>
                <w:szCs w:val="22"/>
                <w:highlight w:val="none"/>
              </w:rPr>
            </w:pPr>
            <w:r>
              <w:rPr>
                <w:color w:val="auto"/>
                <w:sz w:val="22"/>
                <w:szCs w:val="22"/>
                <w:highlight w:val="none"/>
              </w:rPr>
              <w:t>资金已落实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1.3.1</w:t>
            </w:r>
          </w:p>
        </w:tc>
        <w:tc>
          <w:tcPr>
            <w:tcW w:w="1916"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招标范围</w:t>
            </w:r>
          </w:p>
        </w:tc>
        <w:tc>
          <w:tcPr>
            <w:tcW w:w="7063" w:type="dxa"/>
            <w:gridSpan w:val="2"/>
            <w:vAlign w:val="center"/>
          </w:tcPr>
          <w:p>
            <w:pPr>
              <w:pStyle w:val="29"/>
              <w:spacing w:before="43" w:line="319" w:lineRule="auto"/>
              <w:ind w:left="106" w:right="-15"/>
              <w:jc w:val="both"/>
              <w:rPr>
                <w:color w:val="auto"/>
                <w:sz w:val="22"/>
                <w:szCs w:val="22"/>
                <w:highlight w:val="none"/>
              </w:rPr>
            </w:pPr>
            <w:r>
              <w:rPr>
                <w:rFonts w:hint="eastAsia"/>
                <w:color w:val="auto"/>
                <w:sz w:val="22"/>
                <w:szCs w:val="22"/>
              </w:rPr>
              <w:t>建设一幢</w:t>
            </w:r>
            <w:r>
              <w:rPr>
                <w:rFonts w:hint="eastAsia"/>
                <w:color w:val="auto"/>
                <w:sz w:val="22"/>
                <w:szCs w:val="22"/>
                <w:u w:val="single"/>
              </w:rPr>
              <w:t xml:space="preserve"> </w:t>
            </w:r>
            <w:r>
              <w:rPr>
                <w:color w:val="auto"/>
                <w:sz w:val="22"/>
                <w:szCs w:val="22"/>
                <w:u w:val="single"/>
              </w:rPr>
              <w:t>6</w:t>
            </w:r>
            <w:r>
              <w:rPr>
                <w:rFonts w:hint="eastAsia"/>
                <w:color w:val="auto"/>
                <w:sz w:val="22"/>
                <w:szCs w:val="22"/>
                <w:u w:val="single"/>
              </w:rPr>
              <w:t xml:space="preserve"> </w:t>
            </w:r>
            <w:r>
              <w:rPr>
                <w:rFonts w:hint="eastAsia"/>
                <w:color w:val="auto"/>
                <w:sz w:val="22"/>
                <w:szCs w:val="22"/>
              </w:rPr>
              <w:t>层繁殖楼，建筑面积</w:t>
            </w:r>
            <w:r>
              <w:rPr>
                <w:color w:val="auto"/>
                <w:sz w:val="22"/>
                <w:szCs w:val="22"/>
              </w:rPr>
              <w:t>31927.24</w:t>
            </w:r>
            <w:r>
              <w:rPr>
                <w:rFonts w:hint="eastAsia"/>
                <w:color w:val="auto"/>
                <w:sz w:val="22"/>
                <w:szCs w:val="22"/>
              </w:rPr>
              <w:t>平方米</w:t>
            </w:r>
            <w:r>
              <w:rPr>
                <w:color w:val="auto"/>
                <w:sz w:val="22"/>
                <w:szCs w:val="22"/>
              </w:rPr>
              <w:t>。</w:t>
            </w:r>
            <w:r>
              <w:rPr>
                <w:rFonts w:hint="eastAsia" w:ascii="宋体" w:hAnsi="宋体" w:eastAsia="宋体" w:cs="宋体"/>
                <w:color w:val="auto"/>
                <w:sz w:val="22"/>
                <w:szCs w:val="22"/>
              </w:rPr>
              <w:t>本项目招标控制价为</w:t>
            </w:r>
            <w:r>
              <w:rPr>
                <w:rFonts w:hint="eastAsia" w:ascii="宋体" w:hAnsi="宋体" w:eastAsia="宋体" w:cs="宋体"/>
                <w:color w:val="auto"/>
                <w:sz w:val="22"/>
                <w:szCs w:val="22"/>
                <w:lang w:eastAsia="zh-CN"/>
              </w:rPr>
              <w:t>¥23,216,813.21元</w:t>
            </w:r>
            <w:r>
              <w:rPr>
                <w:rFonts w:hint="eastAsia" w:ascii="宋体" w:hAnsi="宋体" w:eastAsia="宋体" w:cs="宋体"/>
                <w:color w:val="auto"/>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1.32</w:t>
            </w:r>
          </w:p>
        </w:tc>
        <w:tc>
          <w:tcPr>
            <w:tcW w:w="1916" w:type="dxa"/>
            <w:vAlign w:val="center"/>
          </w:tcPr>
          <w:p>
            <w:pPr>
              <w:bidi w:val="0"/>
              <w:jc w:val="center"/>
              <w:rPr>
                <w:color w:val="auto"/>
                <w:sz w:val="22"/>
                <w:szCs w:val="22"/>
                <w:highlight w:val="none"/>
              </w:rPr>
            </w:pPr>
            <w:r>
              <w:rPr>
                <w:color w:val="auto"/>
                <w:sz w:val="22"/>
                <w:szCs w:val="22"/>
                <w:highlight w:val="none"/>
              </w:rPr>
              <w:t>计划工期</w:t>
            </w:r>
          </w:p>
        </w:tc>
        <w:tc>
          <w:tcPr>
            <w:tcW w:w="7063" w:type="dxa"/>
            <w:gridSpan w:val="2"/>
            <w:vAlign w:val="center"/>
          </w:tcPr>
          <w:p>
            <w:pPr>
              <w:pStyle w:val="29"/>
              <w:spacing w:before="42"/>
              <w:ind w:left="106"/>
              <w:rPr>
                <w:rFonts w:hint="eastAsia" w:eastAsia="宋体"/>
                <w:b/>
                <w:color w:val="auto"/>
                <w:sz w:val="22"/>
                <w:szCs w:val="22"/>
                <w:highlight w:val="none"/>
                <w:lang w:eastAsia="zh-CN"/>
              </w:rPr>
            </w:pPr>
            <w:r>
              <w:rPr>
                <w:b/>
                <w:bCs/>
                <w:color w:val="auto"/>
                <w:sz w:val="22"/>
                <w:szCs w:val="22"/>
                <w:highlight w:val="none"/>
              </w:rPr>
              <w:t>计划工期：</w:t>
            </w:r>
            <w:r>
              <w:rPr>
                <w:rFonts w:hint="eastAsia"/>
                <w:b/>
                <w:bCs/>
                <w:color w:val="auto"/>
                <w:sz w:val="22"/>
                <w:szCs w:val="22"/>
                <w:highlight w:val="none"/>
                <w:u w:val="single"/>
                <w:lang w:val="en-US" w:eastAsia="zh-CN"/>
              </w:rPr>
              <w:t>120</w:t>
            </w:r>
            <w:r>
              <w:rPr>
                <w:rFonts w:hint="eastAsia"/>
                <w:b/>
                <w:bCs/>
                <w:color w:val="auto"/>
                <w:sz w:val="22"/>
                <w:szCs w:val="22"/>
                <w:highlight w:val="none"/>
                <w:u w:val="single"/>
                <w:lang w:eastAsia="zh-CN"/>
              </w:rPr>
              <w:t>个日历天</w:t>
            </w:r>
          </w:p>
          <w:p>
            <w:pPr>
              <w:bidi w:val="0"/>
              <w:rPr>
                <w:b/>
                <w:color w:val="auto"/>
                <w:sz w:val="22"/>
                <w:szCs w:val="22"/>
                <w:highlight w:val="none"/>
              </w:rPr>
            </w:pPr>
            <w:r>
              <w:rPr>
                <w:color w:val="auto"/>
                <w:sz w:val="22"/>
                <w:szCs w:val="22"/>
                <w:highlight w:val="none"/>
              </w:rPr>
              <w:t>具体开工日期以招标人开工报告批准日期为准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1.3.3</w:t>
            </w:r>
          </w:p>
        </w:tc>
        <w:tc>
          <w:tcPr>
            <w:tcW w:w="1916" w:type="dxa"/>
            <w:vAlign w:val="center"/>
          </w:tcPr>
          <w:p>
            <w:pPr>
              <w:bidi w:val="0"/>
              <w:jc w:val="center"/>
              <w:rPr>
                <w:color w:val="auto"/>
                <w:sz w:val="22"/>
                <w:szCs w:val="22"/>
                <w:highlight w:val="none"/>
              </w:rPr>
            </w:pPr>
            <w:r>
              <w:rPr>
                <w:color w:val="auto"/>
                <w:sz w:val="22"/>
                <w:szCs w:val="22"/>
                <w:highlight w:val="none"/>
              </w:rPr>
              <w:t>质量要求</w:t>
            </w:r>
          </w:p>
        </w:tc>
        <w:tc>
          <w:tcPr>
            <w:tcW w:w="7063" w:type="dxa"/>
            <w:gridSpan w:val="2"/>
            <w:vAlign w:val="center"/>
          </w:tcPr>
          <w:p>
            <w:pPr>
              <w:pStyle w:val="29"/>
              <w:spacing w:before="43"/>
              <w:ind w:left="106"/>
              <w:rPr>
                <w:color w:val="auto"/>
                <w:sz w:val="22"/>
                <w:szCs w:val="22"/>
                <w:highlight w:val="none"/>
              </w:rPr>
            </w:pPr>
            <w:r>
              <w:rPr>
                <w:color w:val="auto"/>
                <w:sz w:val="22"/>
                <w:szCs w:val="22"/>
                <w:highlight w:val="none"/>
              </w:rPr>
              <w:t>符合《</w:t>
            </w:r>
            <w:r>
              <w:rPr>
                <w:rFonts w:hint="eastAsia"/>
                <w:color w:val="auto"/>
                <w:sz w:val="22"/>
                <w:szCs w:val="22"/>
                <w:highlight w:val="none"/>
                <w:lang w:val="en-US" w:eastAsia="zh-CN"/>
              </w:rPr>
              <w:t>工</w:t>
            </w:r>
            <w:r>
              <w:rPr>
                <w:color w:val="auto"/>
                <w:sz w:val="22"/>
                <w:szCs w:val="22"/>
                <w:highlight w:val="none"/>
              </w:rPr>
              <w:t>程施工质量验收规范》合格标准。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1.4.1</w:t>
            </w:r>
          </w:p>
        </w:tc>
        <w:tc>
          <w:tcPr>
            <w:tcW w:w="1916" w:type="dxa"/>
            <w:vAlign w:val="center"/>
          </w:tcPr>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投标人资格条件、能力和信誉</w:t>
            </w:r>
          </w:p>
        </w:tc>
        <w:tc>
          <w:tcPr>
            <w:tcW w:w="7063" w:type="dxa"/>
            <w:gridSpan w:val="2"/>
            <w:tcBorders/>
            <w:vAlign w:val="center"/>
          </w:tcPr>
          <w:p>
            <w:pPr>
              <w:pStyle w:val="29"/>
              <w:keepNext w:val="0"/>
              <w:keepLines w:val="0"/>
              <w:pageBreakBefore w:val="0"/>
              <w:kinsoku/>
              <w:wordWrap/>
              <w:overflowPunct/>
              <w:topLinePunct w:val="0"/>
              <w:autoSpaceDE w:val="0"/>
              <w:autoSpaceDN w:val="0"/>
              <w:bidi w:val="0"/>
              <w:adjustRightInd/>
              <w:snapToGrid/>
              <w:spacing w:before="44" w:line="500" w:lineRule="exact"/>
              <w:ind w:left="106" w:right="32"/>
              <w:textAlignment w:val="auto"/>
              <w:rPr>
                <w:rFonts w:hint="default"/>
                <w:color w:val="auto"/>
                <w:sz w:val="22"/>
                <w:szCs w:val="22"/>
                <w:highlight w:val="none"/>
                <w:u w:val="none"/>
                <w:lang w:val="en-US" w:eastAsia="zh-CN"/>
              </w:rPr>
            </w:pPr>
            <w:r>
              <w:rPr>
                <w:b/>
                <w:bCs/>
                <w:color w:val="auto"/>
                <w:sz w:val="22"/>
                <w:szCs w:val="22"/>
                <w:highlight w:val="none"/>
              </w:rPr>
              <w:t>1</w:t>
            </w:r>
            <w:r>
              <w:rPr>
                <w:rFonts w:hint="eastAsia"/>
                <w:b/>
                <w:bCs/>
                <w:color w:val="auto"/>
                <w:sz w:val="22"/>
                <w:szCs w:val="22"/>
                <w:highlight w:val="none"/>
                <w:lang w:val="en-US" w:eastAsia="zh-CN"/>
              </w:rPr>
              <w:t>.</w:t>
            </w:r>
            <w:r>
              <w:rPr>
                <w:b/>
                <w:bCs/>
                <w:color w:val="auto"/>
                <w:sz w:val="22"/>
                <w:szCs w:val="22"/>
                <w:highlight w:val="none"/>
              </w:rPr>
              <w:t>资质条件：</w:t>
            </w:r>
            <w:r>
              <w:rPr>
                <w:rFonts w:hint="eastAsia"/>
                <w:color w:val="auto"/>
                <w:sz w:val="22"/>
                <w:szCs w:val="22"/>
                <w:highlight w:val="none"/>
                <w:u w:val="none"/>
                <w:lang w:val="en-US" w:eastAsia="zh-CN"/>
              </w:rPr>
              <w:t>投标人须具备建设行政主管部门核发的建筑工程施工总承包叁级或以上资质，并在人员、设备、资金等方面具有相应的施工能力。</w:t>
            </w:r>
          </w:p>
          <w:p>
            <w:pPr>
              <w:pStyle w:val="29"/>
              <w:keepNext w:val="0"/>
              <w:keepLines w:val="0"/>
              <w:pageBreakBefore w:val="0"/>
              <w:kinsoku/>
              <w:wordWrap/>
              <w:overflowPunct/>
              <w:topLinePunct w:val="0"/>
              <w:autoSpaceDE w:val="0"/>
              <w:autoSpaceDN w:val="0"/>
              <w:bidi w:val="0"/>
              <w:adjustRightInd/>
              <w:snapToGrid/>
              <w:spacing w:line="500" w:lineRule="exact"/>
              <w:ind w:left="106"/>
              <w:textAlignment w:val="auto"/>
              <w:rPr>
                <w:rFonts w:hint="default" w:eastAsia="宋体"/>
                <w:b w:val="0"/>
                <w:bCs w:val="0"/>
                <w:color w:val="auto"/>
                <w:sz w:val="22"/>
                <w:szCs w:val="22"/>
                <w:highlight w:val="none"/>
                <w:lang w:val="en-US" w:eastAsia="zh-CN"/>
              </w:rPr>
            </w:pPr>
            <w:r>
              <w:rPr>
                <w:b/>
                <w:bCs/>
                <w:color w:val="auto"/>
                <w:sz w:val="22"/>
                <w:szCs w:val="22"/>
                <w:highlight w:val="none"/>
              </w:rPr>
              <w:t>2</w:t>
            </w:r>
            <w:r>
              <w:rPr>
                <w:rFonts w:hint="eastAsia"/>
                <w:b/>
                <w:bCs/>
                <w:color w:val="auto"/>
                <w:sz w:val="22"/>
                <w:szCs w:val="22"/>
                <w:highlight w:val="none"/>
                <w:lang w:val="en-US" w:eastAsia="zh-CN"/>
              </w:rPr>
              <w:t>.</w:t>
            </w:r>
            <w:r>
              <w:rPr>
                <w:b/>
                <w:bCs/>
                <w:color w:val="auto"/>
                <w:sz w:val="22"/>
                <w:szCs w:val="22"/>
                <w:highlight w:val="none"/>
              </w:rPr>
              <w:t>财务要求：</w:t>
            </w:r>
            <w:r>
              <w:rPr>
                <w:color w:val="auto"/>
                <w:sz w:val="22"/>
                <w:szCs w:val="22"/>
                <w:highlight w:val="none"/>
              </w:rPr>
              <w:t>/</w:t>
            </w:r>
          </w:p>
          <w:p>
            <w:pPr>
              <w:pStyle w:val="29"/>
              <w:keepNext w:val="0"/>
              <w:keepLines w:val="0"/>
              <w:pageBreakBefore w:val="0"/>
              <w:kinsoku/>
              <w:wordWrap/>
              <w:overflowPunct/>
              <w:topLinePunct w:val="0"/>
              <w:autoSpaceDE w:val="0"/>
              <w:autoSpaceDN w:val="0"/>
              <w:bidi w:val="0"/>
              <w:adjustRightInd/>
              <w:snapToGrid/>
              <w:spacing w:before="91" w:line="500" w:lineRule="exact"/>
              <w:ind w:left="106"/>
              <w:textAlignment w:val="auto"/>
              <w:rPr>
                <w:color w:val="auto"/>
                <w:sz w:val="22"/>
                <w:szCs w:val="22"/>
                <w:highlight w:val="none"/>
              </w:rPr>
            </w:pPr>
            <w:r>
              <w:rPr>
                <w:b/>
                <w:bCs/>
                <w:color w:val="auto"/>
                <w:sz w:val="22"/>
                <w:szCs w:val="22"/>
                <w:highlight w:val="none"/>
              </w:rPr>
              <w:t>3</w:t>
            </w:r>
            <w:r>
              <w:rPr>
                <w:rFonts w:hint="eastAsia"/>
                <w:b/>
                <w:bCs/>
                <w:color w:val="auto"/>
                <w:sz w:val="22"/>
                <w:szCs w:val="22"/>
                <w:highlight w:val="none"/>
                <w:lang w:val="en-US" w:eastAsia="zh-CN"/>
              </w:rPr>
              <w:t>.</w:t>
            </w:r>
            <w:r>
              <w:rPr>
                <w:b/>
                <w:bCs/>
                <w:color w:val="auto"/>
                <w:sz w:val="22"/>
                <w:szCs w:val="22"/>
                <w:highlight w:val="none"/>
              </w:rPr>
              <w:t>业绩要求：</w:t>
            </w:r>
            <w:r>
              <w:rPr>
                <w:color w:val="auto"/>
                <w:sz w:val="22"/>
                <w:szCs w:val="22"/>
                <w:highlight w:val="none"/>
              </w:rPr>
              <w:t>/</w:t>
            </w:r>
          </w:p>
          <w:p>
            <w:pPr>
              <w:pStyle w:val="29"/>
              <w:keepNext w:val="0"/>
              <w:keepLines w:val="0"/>
              <w:pageBreakBefore w:val="0"/>
              <w:kinsoku/>
              <w:wordWrap/>
              <w:overflowPunct/>
              <w:topLinePunct w:val="0"/>
              <w:autoSpaceDE w:val="0"/>
              <w:autoSpaceDN w:val="0"/>
              <w:bidi w:val="0"/>
              <w:adjustRightInd/>
              <w:snapToGrid/>
              <w:spacing w:before="91" w:line="500" w:lineRule="exact"/>
              <w:ind w:left="106"/>
              <w:textAlignment w:val="auto"/>
              <w:rPr>
                <w:b/>
                <w:bCs/>
                <w:color w:val="auto"/>
                <w:sz w:val="22"/>
                <w:szCs w:val="22"/>
                <w:highlight w:val="none"/>
              </w:rPr>
            </w:pPr>
            <w:r>
              <w:rPr>
                <w:b/>
                <w:bCs/>
                <w:color w:val="auto"/>
                <w:sz w:val="22"/>
                <w:szCs w:val="22"/>
                <w:highlight w:val="none"/>
              </w:rPr>
              <w:t>4</w:t>
            </w:r>
            <w:r>
              <w:rPr>
                <w:rFonts w:hint="eastAsia"/>
                <w:b/>
                <w:bCs/>
                <w:color w:val="auto"/>
                <w:sz w:val="22"/>
                <w:szCs w:val="22"/>
                <w:highlight w:val="none"/>
                <w:lang w:val="en-US" w:eastAsia="zh-CN"/>
              </w:rPr>
              <w:t>.</w:t>
            </w:r>
            <w:r>
              <w:rPr>
                <w:b/>
                <w:bCs/>
                <w:color w:val="auto"/>
                <w:sz w:val="22"/>
                <w:szCs w:val="22"/>
                <w:highlight w:val="none"/>
              </w:rPr>
              <w:t>信誉要求：</w:t>
            </w:r>
            <w:r>
              <w:rPr>
                <w:color w:val="auto"/>
                <w:sz w:val="22"/>
                <w:szCs w:val="22"/>
                <w:highlight w:val="none"/>
              </w:rPr>
              <w:t>/</w:t>
            </w:r>
          </w:p>
          <w:p>
            <w:pPr>
              <w:pStyle w:val="29"/>
              <w:keepNext w:val="0"/>
              <w:keepLines w:val="0"/>
              <w:pageBreakBefore w:val="0"/>
              <w:numPr>
                <w:ilvl w:val="0"/>
                <w:numId w:val="2"/>
              </w:numPr>
              <w:tabs>
                <w:tab w:val="left" w:pos="321"/>
              </w:tabs>
              <w:kinsoku/>
              <w:wordWrap/>
              <w:overflowPunct/>
              <w:topLinePunct w:val="0"/>
              <w:autoSpaceDE w:val="0"/>
              <w:autoSpaceDN w:val="0"/>
              <w:bidi w:val="0"/>
              <w:adjustRightInd/>
              <w:snapToGrid/>
              <w:spacing w:before="6" w:after="0" w:line="500" w:lineRule="exact"/>
              <w:ind w:left="320" w:right="0" w:hanging="215"/>
              <w:jc w:val="left"/>
              <w:textAlignment w:val="auto"/>
              <w:rPr>
                <w:b/>
                <w:color w:val="auto"/>
                <w:sz w:val="22"/>
                <w:szCs w:val="22"/>
                <w:highlight w:val="none"/>
              </w:rPr>
            </w:pPr>
            <w:r>
              <w:rPr>
                <w:b/>
                <w:bCs/>
                <w:color w:val="auto"/>
                <w:sz w:val="22"/>
                <w:szCs w:val="22"/>
                <w:highlight w:val="none"/>
              </w:rPr>
              <w:t>其他要求</w:t>
            </w:r>
            <w:r>
              <w:rPr>
                <w:b/>
                <w:color w:val="auto"/>
                <w:sz w:val="22"/>
                <w:szCs w:val="22"/>
                <w:highlight w:val="no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15" w:leftChars="0" w:right="0" w:hanging="15" w:hangingChars="7"/>
              <w:textAlignment w:val="auto"/>
              <w:rPr>
                <w:rFonts w:hint="eastAsia" w:ascii="宋体" w:hAnsi="宋体" w:eastAsia="宋体" w:cs="宋体"/>
                <w:color w:val="auto"/>
                <w:kern w:val="0"/>
                <w:sz w:val="22"/>
                <w:szCs w:val="22"/>
                <w:highlight w:val="none"/>
                <w:lang w:val="zh-CN" w:eastAsia="zh-CN" w:bidi="zh-CN"/>
              </w:rPr>
            </w:pPr>
            <w:r>
              <w:rPr>
                <w:rFonts w:hint="eastAsia" w:cs="宋体"/>
                <w:color w:val="auto"/>
                <w:kern w:val="0"/>
                <w:sz w:val="22"/>
                <w:szCs w:val="22"/>
                <w:highlight w:val="none"/>
                <w:lang w:val="en-US" w:eastAsia="zh-CN" w:bidi="zh-CN"/>
              </w:rPr>
              <w:t>5.1</w:t>
            </w:r>
            <w:r>
              <w:rPr>
                <w:rFonts w:hint="eastAsia" w:ascii="宋体" w:hAnsi="宋体" w:eastAsia="宋体" w:cs="宋体"/>
                <w:color w:val="auto"/>
                <w:kern w:val="0"/>
                <w:sz w:val="22"/>
                <w:szCs w:val="22"/>
                <w:highlight w:val="none"/>
                <w:lang w:val="zh-CN" w:eastAsia="zh-CN" w:bidi="zh-CN"/>
              </w:rPr>
              <w:t>投标人须具有独立法人资格及有效营业执照，具有建设行政主管部门颁发的安全生产许可证且处于有效期内。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15" w:leftChars="0" w:right="0" w:hanging="15" w:hangingChars="7"/>
              <w:textAlignment w:val="auto"/>
              <w:rPr>
                <w:rFonts w:hint="eastAsia" w:ascii="宋体" w:hAnsi="宋体" w:eastAsia="宋体" w:cs="宋体"/>
                <w:color w:val="auto"/>
                <w:kern w:val="0"/>
                <w:sz w:val="22"/>
                <w:szCs w:val="22"/>
                <w:highlight w:val="none"/>
                <w:lang w:val="en-US" w:eastAsia="zh-CN" w:bidi="zh-CN"/>
              </w:rPr>
            </w:pPr>
            <w:r>
              <w:rPr>
                <w:rFonts w:hint="eastAsia" w:cs="宋体"/>
                <w:color w:val="auto"/>
                <w:kern w:val="0"/>
                <w:sz w:val="22"/>
                <w:szCs w:val="22"/>
                <w:highlight w:val="none"/>
                <w:lang w:val="en-US" w:eastAsia="zh-CN" w:bidi="zh-CN"/>
              </w:rPr>
              <w:t>5.2</w:t>
            </w:r>
            <w:r>
              <w:rPr>
                <w:rFonts w:hint="eastAsia" w:ascii="宋体" w:hAnsi="宋体" w:eastAsia="宋体" w:cs="宋体"/>
                <w:color w:val="auto"/>
                <w:kern w:val="0"/>
                <w:sz w:val="22"/>
                <w:szCs w:val="22"/>
                <w:highlight w:val="none"/>
                <w:lang w:val="en-US" w:eastAsia="zh-CN" w:bidi="zh-CN"/>
              </w:rPr>
              <w:t>投标人没有处于责令停业，财产被接管、冻结，破产状况等。</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15" w:leftChars="0" w:right="0" w:hanging="15" w:hangingChars="7"/>
              <w:textAlignment w:val="auto"/>
              <w:rPr>
                <w:rFonts w:hint="default" w:ascii="宋体" w:hAnsi="宋体" w:eastAsia="宋体" w:cs="宋体"/>
                <w:color w:val="auto"/>
                <w:sz w:val="22"/>
                <w:szCs w:val="22"/>
                <w:highlight w:val="none"/>
                <w:lang w:val="en-US" w:eastAsia="zh-CN" w:bidi="zh-CN"/>
              </w:rPr>
            </w:pPr>
            <w:r>
              <w:rPr>
                <w:rFonts w:hint="eastAsia" w:cs="宋体"/>
                <w:color w:val="auto"/>
                <w:kern w:val="0"/>
                <w:sz w:val="22"/>
                <w:szCs w:val="22"/>
                <w:highlight w:val="none"/>
                <w:lang w:val="en-US" w:eastAsia="zh-CN" w:bidi="zh-CN"/>
              </w:rPr>
              <w:t>5.3</w:t>
            </w:r>
            <w:r>
              <w:rPr>
                <w:rFonts w:hint="eastAsia" w:ascii="宋体" w:hAnsi="宋体" w:eastAsia="宋体" w:cs="宋体"/>
                <w:color w:val="auto"/>
                <w:kern w:val="0"/>
                <w:sz w:val="22"/>
                <w:szCs w:val="22"/>
                <w:highlight w:val="none"/>
                <w:lang w:val="en-US" w:eastAsia="zh-CN" w:bidi="zh-CN"/>
              </w:rPr>
              <w:t>投标人没有被列入失信被执行人黑名单，须提供在“中国执行信息公开网”（http://zxgk.court.gov</w:t>
            </w:r>
            <w:r>
              <w:rPr>
                <w:rFonts w:hint="eastAsia" w:ascii="宋体" w:hAnsi="宋体" w:eastAsia="宋体" w:cs="宋体"/>
                <w:color w:val="auto"/>
                <w:sz w:val="22"/>
                <w:szCs w:val="22"/>
                <w:highlight w:val="none"/>
                <w:lang w:val="en-US" w:eastAsia="zh-CN" w:bidi="zh-CN"/>
              </w:rPr>
              <w:t>.cn/shixin/）的网页截图或网页打印件。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00" w:lineRule="exact"/>
              <w:ind w:left="15" w:leftChars="0" w:right="0" w:hanging="15" w:hangingChars="7"/>
              <w:textAlignment w:val="auto"/>
              <w:rPr>
                <w:rFonts w:hint="default" w:ascii="宋体" w:hAnsi="宋体" w:eastAsia="宋体" w:cs="宋体"/>
                <w:color w:val="auto"/>
                <w:sz w:val="22"/>
                <w:szCs w:val="22"/>
                <w:highlight w:val="none"/>
                <w:lang w:val="en-US" w:eastAsia="zh-CN" w:bidi="zh-CN"/>
              </w:rPr>
            </w:pPr>
            <w:r>
              <w:rPr>
                <w:rFonts w:hint="eastAsia" w:cs="宋体"/>
                <w:color w:val="auto"/>
                <w:sz w:val="22"/>
                <w:szCs w:val="22"/>
                <w:highlight w:val="none"/>
                <w:lang w:val="en-US" w:eastAsia="zh-CN" w:bidi="zh-CN"/>
              </w:rPr>
              <w:t>5.4</w:t>
            </w:r>
            <w:r>
              <w:rPr>
                <w:rFonts w:hint="eastAsia" w:ascii="宋体" w:hAnsi="宋体" w:eastAsia="宋体" w:cs="宋体"/>
                <w:color w:val="auto"/>
                <w:sz w:val="22"/>
                <w:szCs w:val="22"/>
                <w:highlight w:val="none"/>
                <w:lang w:val="en-US" w:eastAsia="zh-CN" w:bidi="zh-CN"/>
              </w:rPr>
              <w:t>投标人近3年内（从发布招标公告当日往前顺推三年）不得发生以下情况：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特别提示：投标人无论在何地受到处罚，只要在处罚期内，投标人如被查实有以上违法违纪行为的，除投标按无效处理外，其投标行为还须按“提供虚假投标材料”上报相关的建设行政主管部门，并不予退还本项目的投标保证金】。</w:t>
            </w:r>
          </w:p>
          <w:p>
            <w:pPr>
              <w:pStyle w:val="29"/>
              <w:keepNext w:val="0"/>
              <w:keepLines w:val="0"/>
              <w:pageBreakBefore w:val="0"/>
              <w:numPr>
                <w:ilvl w:val="0"/>
                <w:numId w:val="0"/>
              </w:numPr>
              <w:tabs>
                <w:tab w:val="left" w:pos="474"/>
              </w:tabs>
              <w:kinsoku/>
              <w:wordWrap/>
              <w:overflowPunct/>
              <w:topLinePunct w:val="0"/>
              <w:autoSpaceDE w:val="0"/>
              <w:autoSpaceDN w:val="0"/>
              <w:bidi w:val="0"/>
              <w:adjustRightInd/>
              <w:snapToGrid/>
              <w:spacing w:before="1" w:after="0" w:line="500" w:lineRule="exact"/>
              <w:ind w:left="106" w:leftChars="0" w:right="97" w:rightChars="0"/>
              <w:jc w:val="both"/>
              <w:textAlignment w:val="auto"/>
              <w:rPr>
                <w:color w:val="auto"/>
                <w:sz w:val="22"/>
                <w:szCs w:val="22"/>
                <w:highlight w:val="none"/>
              </w:rPr>
            </w:pPr>
            <w:r>
              <w:rPr>
                <w:rFonts w:hint="eastAsia" w:cs="宋体"/>
                <w:color w:val="auto"/>
                <w:sz w:val="22"/>
                <w:szCs w:val="22"/>
                <w:highlight w:val="none"/>
                <w:lang w:val="en-US" w:eastAsia="zh-CN" w:bidi="zh-CN"/>
              </w:rPr>
              <w:t>5.5</w:t>
            </w:r>
            <w:r>
              <w:rPr>
                <w:rFonts w:hint="eastAsia" w:ascii="宋体" w:hAnsi="宋体" w:eastAsia="宋体" w:cs="宋体"/>
                <w:color w:val="auto"/>
                <w:sz w:val="22"/>
                <w:szCs w:val="22"/>
                <w:highlight w:val="none"/>
                <w:lang w:val="en-US" w:eastAsia="zh-CN" w:bidi="zh-CN"/>
              </w:rPr>
              <w:t>本次招标不接受联合体投标。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1.4.2</w:t>
            </w:r>
          </w:p>
        </w:tc>
        <w:tc>
          <w:tcPr>
            <w:tcW w:w="1916" w:type="dxa"/>
            <w:vAlign w:val="center"/>
          </w:tcPr>
          <w:p>
            <w:pPr>
              <w:bidi w:val="0"/>
              <w:jc w:val="center"/>
              <w:rPr>
                <w:color w:val="auto"/>
                <w:sz w:val="22"/>
                <w:szCs w:val="22"/>
                <w:highlight w:val="none"/>
              </w:rPr>
            </w:pPr>
            <w:r>
              <w:rPr>
                <w:color w:val="auto"/>
                <w:sz w:val="22"/>
                <w:szCs w:val="22"/>
                <w:highlight w:val="none"/>
              </w:rPr>
              <w:t>是否接受联合体投标</w:t>
            </w:r>
          </w:p>
        </w:tc>
        <w:tc>
          <w:tcPr>
            <w:tcW w:w="7063" w:type="dxa"/>
            <w:gridSpan w:val="2"/>
            <w:vAlign w:val="center"/>
          </w:tcPr>
          <w:p>
            <w:pPr>
              <w:pStyle w:val="29"/>
              <w:spacing w:before="175"/>
              <w:ind w:left="106"/>
              <w:rPr>
                <w:color w:val="auto"/>
                <w:sz w:val="22"/>
                <w:szCs w:val="22"/>
                <w:highlight w:val="none"/>
              </w:rPr>
            </w:pPr>
            <w:r>
              <w:rPr>
                <w:color w:val="auto"/>
                <w:sz w:val="22"/>
                <w:szCs w:val="22"/>
                <w:highlight w:val="none"/>
              </w:rPr>
              <w:sym w:font="Wingdings" w:char="00FE"/>
            </w:r>
            <w:r>
              <w:rPr>
                <w:color w:val="auto"/>
                <w:sz w:val="22"/>
                <w:szCs w:val="22"/>
                <w:highlight w:val="none"/>
              </w:rPr>
              <w:t>不接受</w:t>
            </w:r>
          </w:p>
          <w:p>
            <w:pPr>
              <w:pStyle w:val="29"/>
              <w:spacing w:before="91"/>
              <w:ind w:left="106"/>
              <w:rPr>
                <w:color w:val="auto"/>
                <w:sz w:val="22"/>
                <w:szCs w:val="22"/>
                <w:highlight w:val="none"/>
              </w:rPr>
            </w:pPr>
            <w:r>
              <w:rPr>
                <w:color w:val="auto"/>
                <w:sz w:val="22"/>
                <w:szCs w:val="22"/>
                <w:highlight w:val="none"/>
              </w:rPr>
              <w:t>□</w:t>
            </w:r>
            <w:r>
              <w:rPr>
                <w:rFonts w:hint="eastAsia"/>
                <w:color w:val="auto"/>
                <w:sz w:val="22"/>
                <w:szCs w:val="22"/>
                <w:highlight w:val="none"/>
                <w:lang w:val="en-US" w:eastAsia="zh-CN"/>
              </w:rPr>
              <w:t>接</w:t>
            </w:r>
            <w:r>
              <w:rPr>
                <w:color w:val="auto"/>
                <w:sz w:val="22"/>
                <w:szCs w:val="22"/>
                <w:highlight w:val="none"/>
              </w:rPr>
              <w:t>受，应满足下列要求：</w:t>
            </w:r>
            <w:r>
              <w:rPr>
                <w:color w:val="auto"/>
                <w:sz w:val="22"/>
                <w:szCs w:val="22"/>
                <w:highlight w:val="none"/>
                <w:u w:val="single"/>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1.9.1</w:t>
            </w:r>
          </w:p>
        </w:tc>
        <w:tc>
          <w:tcPr>
            <w:tcW w:w="1916" w:type="dxa"/>
            <w:vAlign w:val="center"/>
          </w:tcPr>
          <w:p>
            <w:pPr>
              <w:bidi w:val="0"/>
              <w:jc w:val="center"/>
              <w:rPr>
                <w:color w:val="auto"/>
                <w:sz w:val="22"/>
                <w:szCs w:val="22"/>
                <w:highlight w:val="none"/>
              </w:rPr>
            </w:pPr>
            <w:r>
              <w:rPr>
                <w:color w:val="auto"/>
                <w:sz w:val="22"/>
                <w:szCs w:val="22"/>
                <w:highlight w:val="none"/>
              </w:rPr>
              <w:t>踏勘现场</w:t>
            </w:r>
          </w:p>
        </w:tc>
        <w:tc>
          <w:tcPr>
            <w:tcW w:w="7063" w:type="dxa"/>
            <w:gridSpan w:val="2"/>
            <w:vAlign w:val="center"/>
          </w:tcPr>
          <w:p>
            <w:pPr>
              <w:bidi w:val="0"/>
              <w:rPr>
                <w:rFonts w:hint="eastAsia"/>
                <w:color w:val="auto"/>
                <w:sz w:val="22"/>
                <w:szCs w:val="22"/>
                <w:highlight w:val="none"/>
                <w:lang w:val="en-US" w:eastAsia="zh-CN"/>
              </w:rPr>
            </w:pPr>
            <w:r>
              <w:rPr>
                <w:color w:val="auto"/>
                <w:sz w:val="22"/>
                <w:szCs w:val="22"/>
                <w:highlight w:val="none"/>
              </w:rPr>
              <w:sym w:font="Wingdings" w:char="00FE"/>
            </w:r>
            <w:r>
              <w:rPr>
                <w:color w:val="auto"/>
                <w:sz w:val="22"/>
                <w:szCs w:val="22"/>
                <w:highlight w:val="none"/>
              </w:rPr>
              <w:t>不</w:t>
            </w:r>
            <w:r>
              <w:rPr>
                <w:rFonts w:hint="eastAsia"/>
                <w:color w:val="auto"/>
                <w:sz w:val="22"/>
                <w:szCs w:val="22"/>
                <w:highlight w:val="none"/>
                <w:lang w:val="en-US" w:eastAsia="zh-CN"/>
              </w:rPr>
              <w:t>组织</w:t>
            </w:r>
          </w:p>
          <w:p>
            <w:pPr>
              <w:bidi w:val="0"/>
              <w:rPr>
                <w:rFonts w:hint="eastAsia"/>
                <w:color w:val="auto"/>
                <w:sz w:val="22"/>
                <w:szCs w:val="22"/>
                <w:highlight w:val="none"/>
                <w:lang w:val="en-US" w:eastAsia="zh-CN"/>
              </w:rPr>
            </w:pPr>
            <w:r>
              <w:rPr>
                <w:color w:val="auto"/>
                <w:sz w:val="22"/>
                <w:szCs w:val="22"/>
                <w:highlight w:val="none"/>
              </w:rPr>
              <w:t>□组织</w:t>
            </w:r>
            <w:r>
              <w:rPr>
                <w:rFonts w:hint="eastAsia"/>
                <w:color w:val="auto"/>
                <w:sz w:val="22"/>
                <w:szCs w:val="22"/>
                <w:highlight w:val="none"/>
                <w:lang w:eastAsia="zh-CN"/>
              </w:rPr>
              <w:t>，</w:t>
            </w:r>
            <w:r>
              <w:rPr>
                <w:rFonts w:hint="eastAsia"/>
                <w:color w:val="auto"/>
                <w:sz w:val="22"/>
                <w:szCs w:val="22"/>
                <w:highlight w:val="none"/>
                <w:lang w:val="en-US" w:eastAsia="zh-CN"/>
              </w:rPr>
              <w:t>踏勤时间：</w:t>
            </w:r>
          </w:p>
          <w:p>
            <w:pPr>
              <w:bidi w:val="0"/>
              <w:rPr>
                <w:rFonts w:hint="default"/>
                <w:color w:val="auto"/>
                <w:sz w:val="22"/>
                <w:szCs w:val="22"/>
                <w:highlight w:val="none"/>
                <w:lang w:val="en-US" w:eastAsia="zh-CN"/>
              </w:rPr>
            </w:pPr>
            <w:r>
              <w:rPr>
                <w:rFonts w:hint="eastAsia"/>
                <w:color w:val="auto"/>
                <w:sz w:val="22"/>
                <w:szCs w:val="22"/>
                <w:highlight w:val="none"/>
                <w:lang w:val="en-US" w:eastAsia="zh-CN"/>
              </w:rPr>
              <w:t xml:space="preserve">    踏勤集中地点：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1.10.1</w:t>
            </w:r>
          </w:p>
        </w:tc>
        <w:tc>
          <w:tcPr>
            <w:tcW w:w="1916" w:type="dxa"/>
            <w:vAlign w:val="center"/>
          </w:tcPr>
          <w:p>
            <w:pPr>
              <w:bidi w:val="0"/>
              <w:jc w:val="center"/>
              <w:rPr>
                <w:color w:val="auto"/>
                <w:sz w:val="22"/>
                <w:szCs w:val="22"/>
                <w:highlight w:val="none"/>
              </w:rPr>
            </w:pPr>
            <w:r>
              <w:rPr>
                <w:color w:val="auto"/>
                <w:sz w:val="22"/>
                <w:szCs w:val="22"/>
                <w:highlight w:val="none"/>
              </w:rPr>
              <w:t>投标预备会</w:t>
            </w:r>
          </w:p>
        </w:tc>
        <w:tc>
          <w:tcPr>
            <w:tcW w:w="7063" w:type="dxa"/>
            <w:gridSpan w:val="2"/>
            <w:vAlign w:val="center"/>
          </w:tcPr>
          <w:p>
            <w:pPr>
              <w:bidi w:val="0"/>
              <w:rPr>
                <w:color w:val="auto"/>
                <w:sz w:val="22"/>
                <w:szCs w:val="22"/>
                <w:highlight w:val="none"/>
              </w:rPr>
            </w:pPr>
            <w:r>
              <w:rPr>
                <w:color w:val="auto"/>
                <w:sz w:val="22"/>
                <w:szCs w:val="22"/>
                <w:highlight w:val="none"/>
              </w:rPr>
              <w:sym w:font="Wingdings" w:char="00FE"/>
            </w:r>
            <w:r>
              <w:rPr>
                <w:color w:val="auto"/>
                <w:sz w:val="22"/>
                <w:szCs w:val="22"/>
                <w:highlight w:val="none"/>
              </w:rPr>
              <w:t>不召开</w:t>
            </w:r>
          </w:p>
          <w:p>
            <w:pPr>
              <w:pStyle w:val="29"/>
              <w:spacing w:before="10" w:line="350" w:lineRule="atLeast"/>
              <w:ind w:left="220" w:right="4762" w:hanging="220" w:hangingChars="100"/>
              <w:rPr>
                <w:color w:val="auto"/>
                <w:sz w:val="22"/>
                <w:szCs w:val="22"/>
                <w:highlight w:val="none"/>
              </w:rPr>
            </w:pPr>
            <w:r>
              <w:rPr>
                <w:color w:val="auto"/>
                <w:sz w:val="22"/>
                <w:szCs w:val="22"/>
                <w:highlight w:val="none"/>
              </w:rPr>
              <w:t>□召开，召开时间： 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1.10.2</w:t>
            </w:r>
          </w:p>
        </w:tc>
        <w:tc>
          <w:tcPr>
            <w:tcW w:w="1916" w:type="dxa"/>
            <w:vAlign w:val="center"/>
          </w:tcPr>
          <w:p>
            <w:pPr>
              <w:bidi w:val="0"/>
              <w:jc w:val="center"/>
              <w:rPr>
                <w:color w:val="auto"/>
                <w:sz w:val="22"/>
                <w:szCs w:val="22"/>
                <w:highlight w:val="none"/>
              </w:rPr>
            </w:pPr>
            <w:r>
              <w:rPr>
                <w:color w:val="auto"/>
                <w:sz w:val="22"/>
                <w:szCs w:val="22"/>
                <w:highlight w:val="none"/>
              </w:rPr>
              <w:t>投标人提出问题的截止时间</w:t>
            </w:r>
          </w:p>
        </w:tc>
        <w:tc>
          <w:tcPr>
            <w:tcW w:w="7063" w:type="dxa"/>
            <w:gridSpan w:val="2"/>
            <w:vAlign w:val="center"/>
          </w:tcPr>
          <w:p>
            <w:pPr>
              <w:pStyle w:val="29"/>
              <w:spacing w:before="5"/>
              <w:rPr>
                <w:color w:val="auto"/>
                <w:sz w:val="22"/>
                <w:szCs w:val="22"/>
                <w:highlight w:val="none"/>
              </w:rPr>
            </w:pPr>
          </w:p>
          <w:p>
            <w:pPr>
              <w:pStyle w:val="29"/>
              <w:ind w:left="106"/>
              <w:rPr>
                <w:color w:val="auto"/>
                <w:sz w:val="22"/>
                <w:szCs w:val="22"/>
                <w:highlight w:val="none"/>
              </w:rPr>
            </w:pPr>
            <w:r>
              <w:rPr>
                <w:color w:val="auto"/>
                <w:sz w:val="22"/>
                <w:szCs w:val="22"/>
                <w:highlight w:val="none"/>
              </w:rPr>
              <w:t>递交投标文件截止之日</w:t>
            </w:r>
            <w:r>
              <w:rPr>
                <w:color w:val="auto"/>
                <w:sz w:val="22"/>
                <w:szCs w:val="22"/>
                <w:highlight w:val="none"/>
                <w:u w:val="single"/>
              </w:rPr>
              <w:t xml:space="preserve"> 10 </w:t>
            </w:r>
            <w:r>
              <w:rPr>
                <w:color w:val="auto"/>
                <w:sz w:val="22"/>
                <w:szCs w:val="22"/>
                <w:highlight w:val="none"/>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1.10.3</w:t>
            </w:r>
          </w:p>
        </w:tc>
        <w:tc>
          <w:tcPr>
            <w:tcW w:w="1916" w:type="dxa"/>
            <w:vAlign w:val="center"/>
          </w:tcPr>
          <w:p>
            <w:pPr>
              <w:bidi w:val="0"/>
              <w:jc w:val="center"/>
              <w:rPr>
                <w:color w:val="auto"/>
                <w:sz w:val="22"/>
                <w:szCs w:val="22"/>
                <w:highlight w:val="none"/>
              </w:rPr>
            </w:pPr>
            <w:r>
              <w:rPr>
                <w:color w:val="auto"/>
                <w:sz w:val="22"/>
                <w:szCs w:val="22"/>
                <w:highlight w:val="none"/>
              </w:rPr>
              <w:t>招标人书面澄清时</w:t>
            </w:r>
          </w:p>
          <w:p>
            <w:pPr>
              <w:bidi w:val="0"/>
              <w:jc w:val="center"/>
              <w:rPr>
                <w:color w:val="auto"/>
                <w:sz w:val="22"/>
                <w:szCs w:val="22"/>
                <w:highlight w:val="none"/>
              </w:rPr>
            </w:pPr>
            <w:r>
              <w:rPr>
                <w:color w:val="auto"/>
                <w:sz w:val="22"/>
                <w:szCs w:val="22"/>
                <w:highlight w:val="none"/>
              </w:rPr>
              <w:t>间</w:t>
            </w:r>
          </w:p>
        </w:tc>
        <w:tc>
          <w:tcPr>
            <w:tcW w:w="7063" w:type="dxa"/>
            <w:gridSpan w:val="2"/>
            <w:vAlign w:val="center"/>
          </w:tcPr>
          <w:p>
            <w:pPr>
              <w:pStyle w:val="29"/>
              <w:spacing w:before="5"/>
              <w:rPr>
                <w:color w:val="auto"/>
                <w:sz w:val="22"/>
                <w:szCs w:val="22"/>
                <w:highlight w:val="none"/>
              </w:rPr>
            </w:pPr>
          </w:p>
          <w:p>
            <w:pPr>
              <w:pStyle w:val="29"/>
              <w:ind w:left="106"/>
              <w:rPr>
                <w:color w:val="auto"/>
                <w:sz w:val="22"/>
                <w:szCs w:val="22"/>
                <w:highlight w:val="none"/>
              </w:rPr>
            </w:pPr>
            <w:r>
              <w:rPr>
                <w:color w:val="auto"/>
                <w:sz w:val="22"/>
                <w:szCs w:val="22"/>
                <w:highlight w:val="none"/>
              </w:rPr>
              <w:t>递交投标文件截止之日</w:t>
            </w:r>
            <w:r>
              <w:rPr>
                <w:color w:val="auto"/>
                <w:sz w:val="22"/>
                <w:szCs w:val="22"/>
                <w:highlight w:val="none"/>
                <w:u w:val="single"/>
              </w:rPr>
              <w:t xml:space="preserve"> 15 </w:t>
            </w:r>
            <w:r>
              <w:rPr>
                <w:color w:val="auto"/>
                <w:sz w:val="22"/>
                <w:szCs w:val="22"/>
                <w:highlight w:val="none"/>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1.11</w:t>
            </w:r>
          </w:p>
        </w:tc>
        <w:tc>
          <w:tcPr>
            <w:tcW w:w="1916" w:type="dxa"/>
            <w:vAlign w:val="center"/>
          </w:tcPr>
          <w:p>
            <w:pPr>
              <w:bidi w:val="0"/>
              <w:jc w:val="center"/>
              <w:rPr>
                <w:color w:val="auto"/>
                <w:sz w:val="22"/>
                <w:szCs w:val="22"/>
                <w:highlight w:val="none"/>
              </w:rPr>
            </w:pPr>
            <w:r>
              <w:rPr>
                <w:color w:val="auto"/>
                <w:sz w:val="22"/>
                <w:szCs w:val="22"/>
                <w:highlight w:val="none"/>
              </w:rPr>
              <w:t>分包</w:t>
            </w:r>
          </w:p>
        </w:tc>
        <w:tc>
          <w:tcPr>
            <w:tcW w:w="7063" w:type="dxa"/>
            <w:gridSpan w:val="2"/>
            <w:vAlign w:val="center"/>
          </w:tcPr>
          <w:p>
            <w:pPr>
              <w:pStyle w:val="29"/>
              <w:spacing w:before="42"/>
              <w:ind w:left="106"/>
              <w:rPr>
                <w:color w:val="auto"/>
                <w:w w:val="99"/>
                <w:sz w:val="22"/>
                <w:szCs w:val="22"/>
                <w:highlight w:val="none"/>
              </w:rPr>
            </w:pPr>
            <w:r>
              <w:rPr>
                <w:color w:val="auto"/>
                <w:sz w:val="22"/>
                <w:szCs w:val="22"/>
                <w:highlight w:val="none"/>
              </w:rPr>
              <w:sym w:font="Wingdings" w:char="00FE"/>
            </w:r>
            <w:r>
              <w:rPr>
                <w:color w:val="auto"/>
                <w:sz w:val="22"/>
                <w:szCs w:val="22"/>
                <w:highlight w:val="none"/>
              </w:rPr>
              <w:t>不允许</w:t>
            </w:r>
          </w:p>
          <w:p>
            <w:pPr>
              <w:pStyle w:val="29"/>
              <w:spacing w:before="42"/>
              <w:ind w:left="106"/>
              <w:rPr>
                <w:color w:val="auto"/>
                <w:sz w:val="22"/>
                <w:szCs w:val="22"/>
                <w:highlight w:val="none"/>
              </w:rPr>
            </w:pPr>
            <w:r>
              <w:rPr>
                <w:color w:val="auto"/>
                <w:sz w:val="22"/>
                <w:szCs w:val="22"/>
                <w:highlight w:val="none"/>
              </w:rPr>
              <w:t>□允许，分包内容要求：经招标人批准的非关键、非主体的专业工程分包金额要求不超过合同总价的30%</w:t>
            </w:r>
          </w:p>
          <w:p>
            <w:pPr>
              <w:pStyle w:val="29"/>
              <w:spacing w:line="268" w:lineRule="exact"/>
              <w:ind w:left="106"/>
              <w:rPr>
                <w:color w:val="auto"/>
                <w:sz w:val="22"/>
                <w:szCs w:val="22"/>
                <w:highlight w:val="none"/>
              </w:rPr>
            </w:pPr>
            <w:r>
              <w:rPr>
                <w:color w:val="auto"/>
                <w:sz w:val="22"/>
                <w:szCs w:val="22"/>
                <w:highlight w:val="none"/>
              </w:rPr>
              <w:t>对分包人的资质要求：具备相应专业资质和能力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1.12</w:t>
            </w:r>
          </w:p>
        </w:tc>
        <w:tc>
          <w:tcPr>
            <w:tcW w:w="1916" w:type="dxa"/>
            <w:vAlign w:val="center"/>
          </w:tcPr>
          <w:p>
            <w:pPr>
              <w:bidi w:val="0"/>
              <w:jc w:val="center"/>
              <w:rPr>
                <w:color w:val="auto"/>
                <w:sz w:val="22"/>
                <w:szCs w:val="22"/>
                <w:highlight w:val="none"/>
              </w:rPr>
            </w:pPr>
            <w:r>
              <w:rPr>
                <w:color w:val="auto"/>
                <w:sz w:val="22"/>
                <w:szCs w:val="22"/>
                <w:highlight w:val="none"/>
              </w:rPr>
              <w:t>偏离</w:t>
            </w:r>
          </w:p>
        </w:tc>
        <w:tc>
          <w:tcPr>
            <w:tcW w:w="7063" w:type="dxa"/>
            <w:gridSpan w:val="2"/>
            <w:vAlign w:val="center"/>
          </w:tcPr>
          <w:p>
            <w:pPr>
              <w:bidi w:val="0"/>
              <w:rPr>
                <w:color w:val="auto"/>
                <w:sz w:val="22"/>
                <w:szCs w:val="22"/>
                <w:highlight w:val="none"/>
              </w:rPr>
            </w:pPr>
            <w:r>
              <w:rPr>
                <w:color w:val="auto"/>
                <w:sz w:val="22"/>
                <w:szCs w:val="22"/>
                <w:highlight w:val="none"/>
              </w:rPr>
              <w:sym w:font="Wingdings" w:char="00FE"/>
            </w:r>
            <w:r>
              <w:rPr>
                <w:color w:val="auto"/>
                <w:sz w:val="22"/>
                <w:szCs w:val="22"/>
                <w:highlight w:val="none"/>
              </w:rPr>
              <w:t>不允许</w:t>
            </w:r>
          </w:p>
          <w:p>
            <w:pPr>
              <w:pStyle w:val="29"/>
              <w:spacing w:before="42"/>
              <w:rPr>
                <w:color w:val="auto"/>
                <w:sz w:val="22"/>
                <w:szCs w:val="22"/>
                <w:highlight w:val="none"/>
              </w:rPr>
            </w:pPr>
            <w:r>
              <w:rPr>
                <w:color w:val="auto"/>
                <w:sz w:val="22"/>
                <w:szCs w:val="22"/>
                <w:highlight w:val="none"/>
              </w:rPr>
              <w:t>□允许，允许偏离的内容、偏离范围和幅度：除评标办法中形式评审</w:t>
            </w:r>
            <w:r>
              <w:rPr>
                <w:color w:val="auto"/>
                <w:w w:val="95"/>
                <w:sz w:val="22"/>
                <w:szCs w:val="22"/>
                <w:highlight w:val="none"/>
              </w:rPr>
              <w:t xml:space="preserve">、  </w:t>
            </w:r>
            <w:r>
              <w:rPr>
                <w:color w:val="auto"/>
                <w:sz w:val="22"/>
                <w:szCs w:val="22"/>
                <w:highlight w:val="none"/>
              </w:rPr>
              <w:t>资格评审、</w:t>
            </w:r>
            <w:r>
              <w:rPr>
                <w:rFonts w:hint="eastAsia"/>
                <w:color w:val="auto"/>
                <w:sz w:val="22"/>
                <w:szCs w:val="22"/>
                <w:highlight w:val="none"/>
                <w:lang w:eastAsia="zh-CN"/>
              </w:rPr>
              <w:t>响</w:t>
            </w:r>
            <w:r>
              <w:rPr>
                <w:color w:val="auto"/>
                <w:sz w:val="22"/>
                <w:szCs w:val="22"/>
                <w:highlight w:val="none"/>
              </w:rPr>
              <w:t>应性评审标准外的细微偏差或偏离。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2.1</w:t>
            </w:r>
          </w:p>
        </w:tc>
        <w:tc>
          <w:tcPr>
            <w:tcW w:w="1916" w:type="dxa"/>
            <w:vAlign w:val="center"/>
          </w:tcPr>
          <w:p>
            <w:pPr>
              <w:bidi w:val="0"/>
              <w:jc w:val="center"/>
              <w:rPr>
                <w:color w:val="auto"/>
                <w:sz w:val="22"/>
                <w:szCs w:val="22"/>
                <w:highlight w:val="none"/>
              </w:rPr>
            </w:pPr>
            <w:r>
              <w:rPr>
                <w:color w:val="auto"/>
                <w:sz w:val="22"/>
                <w:szCs w:val="22"/>
                <w:highlight w:val="none"/>
              </w:rPr>
              <w:t>构成招标文件的其他材料</w:t>
            </w:r>
          </w:p>
        </w:tc>
        <w:tc>
          <w:tcPr>
            <w:tcW w:w="7063" w:type="dxa"/>
            <w:gridSpan w:val="2"/>
            <w:vAlign w:val="center"/>
          </w:tcPr>
          <w:p>
            <w:pPr>
              <w:pStyle w:val="29"/>
              <w:spacing w:before="4"/>
              <w:rPr>
                <w:color w:val="auto"/>
                <w:sz w:val="22"/>
                <w:szCs w:val="22"/>
                <w:highlight w:val="none"/>
              </w:rPr>
            </w:pPr>
          </w:p>
          <w:p>
            <w:pPr>
              <w:pStyle w:val="29"/>
              <w:spacing w:before="1"/>
              <w:rPr>
                <w:color w:val="auto"/>
                <w:sz w:val="22"/>
                <w:szCs w:val="22"/>
                <w:highlight w:val="none"/>
              </w:rPr>
            </w:pPr>
            <w:r>
              <w:rPr>
                <w:color w:val="auto"/>
                <w:sz w:val="22"/>
                <w:szCs w:val="22"/>
                <w:highlight w:val="none"/>
              </w:rPr>
              <w:t>在规定时间发出的补充通知和补充答疑文件等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2.2.1</w:t>
            </w:r>
          </w:p>
        </w:tc>
        <w:tc>
          <w:tcPr>
            <w:tcW w:w="1916" w:type="dxa"/>
            <w:vAlign w:val="center"/>
          </w:tcPr>
          <w:p>
            <w:pPr>
              <w:bidi w:val="0"/>
              <w:jc w:val="center"/>
              <w:rPr>
                <w:color w:val="auto"/>
                <w:sz w:val="22"/>
                <w:szCs w:val="22"/>
                <w:highlight w:val="none"/>
              </w:rPr>
            </w:pPr>
            <w:r>
              <w:rPr>
                <w:color w:val="auto"/>
                <w:sz w:val="22"/>
                <w:szCs w:val="22"/>
                <w:highlight w:val="none"/>
              </w:rPr>
              <w:t>投标人要求澄清招标文件的截止时间</w:t>
            </w:r>
          </w:p>
        </w:tc>
        <w:tc>
          <w:tcPr>
            <w:tcW w:w="7063" w:type="dxa"/>
            <w:gridSpan w:val="2"/>
            <w:vAlign w:val="center"/>
          </w:tcPr>
          <w:p>
            <w:pPr>
              <w:pStyle w:val="29"/>
              <w:spacing w:before="5"/>
              <w:rPr>
                <w:color w:val="auto"/>
                <w:sz w:val="22"/>
                <w:szCs w:val="22"/>
                <w:highlight w:val="none"/>
              </w:rPr>
            </w:pPr>
          </w:p>
          <w:p>
            <w:pPr>
              <w:pStyle w:val="29"/>
              <w:ind w:left="106"/>
              <w:rPr>
                <w:color w:val="auto"/>
                <w:sz w:val="22"/>
                <w:szCs w:val="22"/>
                <w:highlight w:val="none"/>
              </w:rPr>
            </w:pPr>
            <w:r>
              <w:rPr>
                <w:color w:val="auto"/>
                <w:sz w:val="22"/>
                <w:szCs w:val="22"/>
                <w:highlight w:val="none"/>
              </w:rPr>
              <w:t>递交投标文件截止之日</w:t>
            </w:r>
            <w:r>
              <w:rPr>
                <w:color w:val="auto"/>
                <w:sz w:val="22"/>
                <w:szCs w:val="22"/>
                <w:highlight w:val="none"/>
                <w:u w:val="single"/>
              </w:rPr>
              <w:t>10</w:t>
            </w:r>
            <w:r>
              <w:rPr>
                <w:color w:val="auto"/>
                <w:sz w:val="22"/>
                <w:szCs w:val="22"/>
                <w:highlight w:val="none"/>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2.2.2</w:t>
            </w:r>
          </w:p>
        </w:tc>
        <w:tc>
          <w:tcPr>
            <w:tcW w:w="1916" w:type="dxa"/>
            <w:vAlign w:val="center"/>
          </w:tcPr>
          <w:p>
            <w:pPr>
              <w:bidi w:val="0"/>
              <w:jc w:val="center"/>
              <w:rPr>
                <w:color w:val="auto"/>
                <w:sz w:val="22"/>
                <w:szCs w:val="22"/>
                <w:highlight w:val="none"/>
              </w:rPr>
            </w:pPr>
            <w:r>
              <w:rPr>
                <w:color w:val="auto"/>
                <w:sz w:val="22"/>
                <w:szCs w:val="22"/>
                <w:highlight w:val="none"/>
              </w:rPr>
              <w:t>投标文件提</w:t>
            </w:r>
            <w:r>
              <w:rPr>
                <w:rFonts w:hint="eastAsia"/>
                <w:color w:val="auto"/>
                <w:sz w:val="22"/>
                <w:szCs w:val="22"/>
                <w:highlight w:val="none"/>
                <w:lang w:val="en-US" w:eastAsia="zh-CN"/>
              </w:rPr>
              <w:t>交</w:t>
            </w:r>
            <w:r>
              <w:rPr>
                <w:color w:val="auto"/>
                <w:sz w:val="22"/>
                <w:szCs w:val="22"/>
                <w:highlight w:val="none"/>
              </w:rPr>
              <w:t>截止时间</w:t>
            </w:r>
          </w:p>
        </w:tc>
        <w:tc>
          <w:tcPr>
            <w:tcW w:w="7063" w:type="dxa"/>
            <w:gridSpan w:val="2"/>
            <w:vAlign w:val="center"/>
          </w:tcPr>
          <w:p>
            <w:pPr>
              <w:pStyle w:val="29"/>
              <w:spacing w:before="5"/>
              <w:rPr>
                <w:color w:val="auto"/>
                <w:sz w:val="22"/>
                <w:szCs w:val="22"/>
                <w:highlight w:val="none"/>
              </w:rPr>
            </w:pPr>
          </w:p>
          <w:p>
            <w:pPr>
              <w:pStyle w:val="29"/>
              <w:ind w:left="106"/>
              <w:rPr>
                <w:b/>
                <w:color w:val="auto"/>
                <w:sz w:val="22"/>
                <w:szCs w:val="22"/>
                <w:highlight w:val="none"/>
              </w:rPr>
            </w:pPr>
            <w:r>
              <w:rPr>
                <w:color w:val="auto"/>
                <w:sz w:val="22"/>
                <w:szCs w:val="22"/>
                <w:highlight w:val="none"/>
              </w:rPr>
              <w:t>202</w:t>
            </w:r>
            <w:r>
              <w:rPr>
                <w:rFonts w:hint="eastAsia"/>
                <w:color w:val="auto"/>
                <w:sz w:val="22"/>
                <w:szCs w:val="22"/>
                <w:highlight w:val="none"/>
                <w:lang w:val="en-US" w:eastAsia="zh-CN"/>
              </w:rPr>
              <w:t>2</w:t>
            </w:r>
            <w:r>
              <w:rPr>
                <w:color w:val="auto"/>
                <w:sz w:val="22"/>
                <w:szCs w:val="22"/>
                <w:highlight w:val="none"/>
              </w:rPr>
              <w:t>年</w:t>
            </w:r>
            <w:r>
              <w:rPr>
                <w:rFonts w:hint="eastAsia"/>
                <w:color w:val="auto"/>
                <w:sz w:val="22"/>
                <w:szCs w:val="22"/>
                <w:highlight w:val="none"/>
                <w:lang w:val="en-US" w:eastAsia="zh-CN"/>
              </w:rPr>
              <w:t>9</w:t>
            </w:r>
            <w:r>
              <w:rPr>
                <w:color w:val="auto"/>
                <w:sz w:val="22"/>
                <w:szCs w:val="22"/>
                <w:highlight w:val="none"/>
              </w:rPr>
              <w:t>月</w:t>
            </w:r>
            <w:r>
              <w:rPr>
                <w:rFonts w:hint="eastAsia"/>
                <w:color w:val="auto"/>
                <w:sz w:val="22"/>
                <w:szCs w:val="22"/>
                <w:highlight w:val="none"/>
                <w:lang w:val="en-US" w:eastAsia="zh-CN"/>
              </w:rPr>
              <w:t>13</w:t>
            </w:r>
            <w:r>
              <w:rPr>
                <w:color w:val="auto"/>
                <w:sz w:val="22"/>
                <w:szCs w:val="22"/>
                <w:highlight w:val="none"/>
              </w:rPr>
              <w:t>日</w:t>
            </w:r>
            <w:r>
              <w:rPr>
                <w:rFonts w:hint="eastAsia"/>
                <w:color w:val="auto"/>
                <w:sz w:val="22"/>
                <w:szCs w:val="22"/>
                <w:highlight w:val="none"/>
                <w:lang w:val="en-US" w:eastAsia="zh-CN"/>
              </w:rPr>
              <w:t>08</w:t>
            </w:r>
            <w:r>
              <w:rPr>
                <w:color w:val="auto"/>
                <w:sz w:val="22"/>
                <w:szCs w:val="22"/>
                <w:highlight w:val="none"/>
              </w:rPr>
              <w:t>时</w:t>
            </w:r>
            <w:r>
              <w:rPr>
                <w:rFonts w:hint="eastAsia"/>
                <w:color w:val="auto"/>
                <w:sz w:val="22"/>
                <w:szCs w:val="22"/>
                <w:highlight w:val="none"/>
                <w:lang w:val="en-US" w:eastAsia="zh-CN"/>
              </w:rPr>
              <w:t>30</w:t>
            </w:r>
            <w:r>
              <w:rPr>
                <w:color w:val="auto"/>
                <w:sz w:val="22"/>
                <w:szCs w:val="2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2.2.3</w:t>
            </w:r>
          </w:p>
        </w:tc>
        <w:tc>
          <w:tcPr>
            <w:tcW w:w="1916" w:type="dxa"/>
            <w:vAlign w:val="center"/>
          </w:tcPr>
          <w:p>
            <w:pPr>
              <w:bidi w:val="0"/>
              <w:jc w:val="center"/>
              <w:rPr>
                <w:color w:val="auto"/>
                <w:sz w:val="22"/>
                <w:szCs w:val="22"/>
                <w:highlight w:val="none"/>
              </w:rPr>
            </w:pPr>
            <w:r>
              <w:rPr>
                <w:color w:val="auto"/>
                <w:sz w:val="22"/>
                <w:szCs w:val="22"/>
                <w:highlight w:val="none"/>
              </w:rPr>
              <w:t>投标人确认到招标</w:t>
            </w:r>
          </w:p>
          <w:p>
            <w:pPr>
              <w:bidi w:val="0"/>
              <w:jc w:val="center"/>
              <w:rPr>
                <w:color w:val="auto"/>
                <w:sz w:val="22"/>
                <w:szCs w:val="22"/>
                <w:highlight w:val="none"/>
              </w:rPr>
            </w:pPr>
            <w:r>
              <w:rPr>
                <w:color w:val="auto"/>
                <w:sz w:val="22"/>
                <w:szCs w:val="22"/>
                <w:highlight w:val="none"/>
              </w:rPr>
              <w:t>文件澄清的时间</w:t>
            </w:r>
          </w:p>
        </w:tc>
        <w:tc>
          <w:tcPr>
            <w:tcW w:w="7063" w:type="dxa"/>
            <w:gridSpan w:val="2"/>
            <w:vAlign w:val="center"/>
          </w:tcPr>
          <w:p>
            <w:pPr>
              <w:pStyle w:val="29"/>
              <w:spacing w:before="42"/>
              <w:ind w:left="106"/>
              <w:rPr>
                <w:color w:val="auto"/>
                <w:sz w:val="22"/>
                <w:szCs w:val="22"/>
                <w:highlight w:val="none"/>
              </w:rPr>
            </w:pPr>
            <w:r>
              <w:rPr>
                <w:color w:val="auto"/>
                <w:sz w:val="22"/>
                <w:szCs w:val="22"/>
                <w:highlight w:val="none"/>
              </w:rPr>
              <w:t>投标人自行到</w:t>
            </w:r>
            <w:r>
              <w:rPr>
                <w:rFonts w:hint="eastAsia"/>
                <w:b/>
                <w:bCs/>
                <w:color w:val="auto"/>
                <w:sz w:val="22"/>
                <w:szCs w:val="22"/>
                <w:highlight w:val="none"/>
                <w:lang w:val="en-US" w:eastAsia="zh-CN"/>
              </w:rPr>
              <w:t>广东晓君项目管理有限公司网站或</w:t>
            </w:r>
            <w:r>
              <w:rPr>
                <w:b/>
                <w:bCs/>
                <w:color w:val="auto"/>
                <w:sz w:val="22"/>
                <w:szCs w:val="22"/>
                <w:highlight w:val="none"/>
              </w:rPr>
              <w:t>云浮市公共资源交易服务平台</w:t>
            </w:r>
            <w:r>
              <w:rPr>
                <w:color w:val="auto"/>
                <w:sz w:val="22"/>
                <w:szCs w:val="22"/>
                <w:highlight w:val="none"/>
              </w:rPr>
              <w:t>下载，</w:t>
            </w:r>
            <w:r>
              <w:rPr>
                <w:rFonts w:hint="eastAsia"/>
                <w:color w:val="auto"/>
                <w:sz w:val="22"/>
                <w:szCs w:val="22"/>
                <w:highlight w:val="none"/>
                <w:lang w:val="en-US" w:eastAsia="zh-CN"/>
              </w:rPr>
              <w:t>网</w:t>
            </w:r>
            <w:r>
              <w:rPr>
                <w:color w:val="auto"/>
                <w:sz w:val="22"/>
                <w:szCs w:val="22"/>
                <w:highlight w:val="none"/>
              </w:rPr>
              <w:t>站发布当日视为投标人确认收到。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2.3.2</w:t>
            </w:r>
          </w:p>
        </w:tc>
        <w:tc>
          <w:tcPr>
            <w:tcW w:w="1916" w:type="dxa"/>
            <w:vAlign w:val="center"/>
          </w:tcPr>
          <w:p>
            <w:pPr>
              <w:bidi w:val="0"/>
              <w:jc w:val="center"/>
              <w:rPr>
                <w:color w:val="auto"/>
                <w:sz w:val="22"/>
                <w:szCs w:val="22"/>
                <w:highlight w:val="none"/>
              </w:rPr>
            </w:pPr>
            <w:r>
              <w:rPr>
                <w:color w:val="auto"/>
                <w:sz w:val="22"/>
                <w:szCs w:val="22"/>
                <w:highlight w:val="none"/>
              </w:rPr>
              <w:t>投标人确认收到招标文件修改时间</w:t>
            </w:r>
          </w:p>
        </w:tc>
        <w:tc>
          <w:tcPr>
            <w:tcW w:w="7063" w:type="dxa"/>
            <w:gridSpan w:val="2"/>
            <w:vAlign w:val="center"/>
          </w:tcPr>
          <w:p>
            <w:pPr>
              <w:pStyle w:val="29"/>
              <w:spacing w:before="45"/>
              <w:ind w:left="106"/>
              <w:rPr>
                <w:color w:val="auto"/>
                <w:sz w:val="22"/>
                <w:szCs w:val="22"/>
                <w:highlight w:val="none"/>
              </w:rPr>
            </w:pPr>
            <w:r>
              <w:rPr>
                <w:color w:val="auto"/>
                <w:sz w:val="22"/>
                <w:szCs w:val="22"/>
                <w:highlight w:val="none"/>
              </w:rPr>
              <w:t>投标人自行到</w:t>
            </w:r>
            <w:r>
              <w:rPr>
                <w:rFonts w:hint="eastAsia"/>
                <w:b/>
                <w:bCs/>
                <w:color w:val="auto"/>
                <w:sz w:val="22"/>
                <w:szCs w:val="22"/>
                <w:highlight w:val="none"/>
                <w:lang w:val="en-US" w:eastAsia="zh-CN"/>
              </w:rPr>
              <w:t>广东晓君项目管理有限公司网站或</w:t>
            </w:r>
            <w:r>
              <w:rPr>
                <w:b/>
                <w:bCs/>
                <w:color w:val="auto"/>
                <w:sz w:val="22"/>
                <w:szCs w:val="22"/>
                <w:highlight w:val="none"/>
              </w:rPr>
              <w:t>云浮市公共资源交易服务平台</w:t>
            </w:r>
            <w:r>
              <w:rPr>
                <w:color w:val="auto"/>
                <w:sz w:val="22"/>
                <w:szCs w:val="22"/>
                <w:highlight w:val="none"/>
              </w:rPr>
              <w:t>，</w:t>
            </w:r>
            <w:r>
              <w:rPr>
                <w:rFonts w:hint="eastAsia"/>
                <w:color w:val="auto"/>
                <w:sz w:val="22"/>
                <w:szCs w:val="22"/>
                <w:highlight w:val="none"/>
                <w:lang w:val="en-US" w:eastAsia="zh-CN"/>
              </w:rPr>
              <w:t>网</w:t>
            </w:r>
            <w:r>
              <w:rPr>
                <w:color w:val="auto"/>
                <w:sz w:val="22"/>
                <w:szCs w:val="22"/>
                <w:highlight w:val="none"/>
              </w:rPr>
              <w:t>站发布当日视为投标人确认收到。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3.1.1</w:t>
            </w:r>
          </w:p>
        </w:tc>
        <w:tc>
          <w:tcPr>
            <w:tcW w:w="1916" w:type="dxa"/>
            <w:vAlign w:val="center"/>
          </w:tcPr>
          <w:p>
            <w:pPr>
              <w:bidi w:val="0"/>
              <w:jc w:val="center"/>
              <w:rPr>
                <w:color w:val="auto"/>
                <w:sz w:val="22"/>
                <w:szCs w:val="22"/>
                <w:highlight w:val="none"/>
              </w:rPr>
            </w:pPr>
            <w:r>
              <w:rPr>
                <w:color w:val="auto"/>
                <w:sz w:val="22"/>
                <w:szCs w:val="22"/>
                <w:highlight w:val="none"/>
              </w:rPr>
              <w:t>构成投标文件的其他材料</w:t>
            </w:r>
          </w:p>
        </w:tc>
        <w:tc>
          <w:tcPr>
            <w:tcW w:w="7063" w:type="dxa"/>
            <w:gridSpan w:val="2"/>
            <w:vAlign w:val="center"/>
          </w:tcPr>
          <w:p>
            <w:pPr>
              <w:pStyle w:val="29"/>
              <w:spacing w:before="3"/>
              <w:rPr>
                <w:color w:val="auto"/>
                <w:sz w:val="22"/>
                <w:szCs w:val="22"/>
                <w:highlight w:val="none"/>
              </w:rPr>
            </w:pPr>
          </w:p>
          <w:p>
            <w:pPr>
              <w:pStyle w:val="29"/>
              <w:spacing w:before="1"/>
              <w:ind w:left="106"/>
              <w:rPr>
                <w:color w:val="auto"/>
                <w:sz w:val="22"/>
                <w:szCs w:val="22"/>
                <w:highlight w:val="none"/>
              </w:rPr>
            </w:pPr>
            <w:r>
              <w:rPr>
                <w:color w:val="auto"/>
                <w:sz w:val="22"/>
                <w:szCs w:val="22"/>
                <w:highlight w:val="none"/>
              </w:rPr>
              <w:t>评标过程中，评标委员会要求投标单位提供的相关澄清补充资料。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w:t>
            </w:r>
            <w:r>
              <w:rPr>
                <w:rFonts w:hint="eastAsia"/>
                <w:color w:val="auto"/>
                <w:sz w:val="22"/>
                <w:szCs w:val="22"/>
                <w:highlight w:val="none"/>
                <w:lang w:val="en-US" w:eastAsia="zh-CN"/>
              </w:rPr>
              <w:t>2</w:t>
            </w:r>
            <w:r>
              <w:rPr>
                <w:color w:val="auto"/>
                <w:sz w:val="22"/>
                <w:szCs w:val="22"/>
                <w:highlight w:val="none"/>
              </w:rPr>
              <w:t>.3</w:t>
            </w:r>
          </w:p>
        </w:tc>
        <w:tc>
          <w:tcPr>
            <w:tcW w:w="1916" w:type="dxa"/>
            <w:vAlign w:val="center"/>
          </w:tcPr>
          <w:p>
            <w:pPr>
              <w:bidi w:val="0"/>
              <w:jc w:val="center"/>
              <w:rPr>
                <w:color w:val="auto"/>
                <w:sz w:val="22"/>
                <w:szCs w:val="22"/>
                <w:highlight w:val="none"/>
              </w:rPr>
            </w:pPr>
            <w:r>
              <w:rPr>
                <w:color w:val="auto"/>
                <w:sz w:val="22"/>
                <w:szCs w:val="22"/>
                <w:highlight w:val="none"/>
              </w:rPr>
              <w:t>最高投标限价</w:t>
            </w:r>
          </w:p>
        </w:tc>
        <w:tc>
          <w:tcPr>
            <w:tcW w:w="7063" w:type="dxa"/>
            <w:gridSpan w:val="2"/>
            <w:vAlign w:val="center"/>
          </w:tcPr>
          <w:p>
            <w:pPr>
              <w:pStyle w:val="29"/>
              <w:spacing w:before="44"/>
              <w:ind w:left="106"/>
              <w:rPr>
                <w:color w:val="auto"/>
                <w:sz w:val="22"/>
                <w:szCs w:val="22"/>
                <w:highlight w:val="none"/>
              </w:rPr>
            </w:pPr>
            <w:r>
              <w:rPr>
                <w:color w:val="auto"/>
                <w:sz w:val="22"/>
                <w:szCs w:val="22"/>
                <w:highlight w:val="none"/>
              </w:rPr>
              <w:t>最高限价（招标控制价）为:</w:t>
            </w:r>
            <w:r>
              <w:rPr>
                <w:rFonts w:hint="eastAsia"/>
                <w:b/>
                <w:bCs/>
                <w:color w:val="auto"/>
                <w:sz w:val="22"/>
                <w:szCs w:val="22"/>
                <w:highlight w:val="none"/>
                <w:u w:val="single"/>
                <w:lang w:eastAsia="zh-CN"/>
              </w:rPr>
              <w:t>¥23,216,813.21元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3.3.1</w:t>
            </w:r>
          </w:p>
        </w:tc>
        <w:tc>
          <w:tcPr>
            <w:tcW w:w="1916" w:type="dxa"/>
            <w:vAlign w:val="center"/>
          </w:tcPr>
          <w:p>
            <w:pPr>
              <w:bidi w:val="0"/>
              <w:jc w:val="center"/>
              <w:rPr>
                <w:color w:val="auto"/>
                <w:sz w:val="22"/>
                <w:szCs w:val="22"/>
                <w:highlight w:val="none"/>
              </w:rPr>
            </w:pPr>
            <w:r>
              <w:rPr>
                <w:color w:val="auto"/>
                <w:sz w:val="22"/>
                <w:szCs w:val="22"/>
                <w:highlight w:val="none"/>
              </w:rPr>
              <w:t>投标有效期</w:t>
            </w:r>
          </w:p>
        </w:tc>
        <w:tc>
          <w:tcPr>
            <w:tcW w:w="7063" w:type="dxa"/>
            <w:gridSpan w:val="2"/>
            <w:vAlign w:val="center"/>
          </w:tcPr>
          <w:p>
            <w:pPr>
              <w:pStyle w:val="29"/>
              <w:spacing w:before="45"/>
              <w:ind w:left="106"/>
              <w:rPr>
                <w:color w:val="auto"/>
                <w:sz w:val="22"/>
                <w:szCs w:val="22"/>
                <w:highlight w:val="none"/>
              </w:rPr>
            </w:pPr>
            <w:r>
              <w:rPr>
                <w:color w:val="auto"/>
                <w:sz w:val="22"/>
                <w:szCs w:val="22"/>
                <w:highlight w:val="none"/>
                <w:u w:val="single"/>
              </w:rPr>
              <w:t>120</w:t>
            </w:r>
            <w:r>
              <w:rPr>
                <w:color w:val="auto"/>
                <w:sz w:val="22"/>
                <w:szCs w:val="22"/>
                <w:highlight w:val="none"/>
              </w:rPr>
              <w:t>日历天（从投标截止之日计起）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3.4.1</w:t>
            </w:r>
          </w:p>
        </w:tc>
        <w:tc>
          <w:tcPr>
            <w:tcW w:w="1916" w:type="dxa"/>
            <w:vAlign w:val="center"/>
          </w:tcPr>
          <w:p>
            <w:pPr>
              <w:bidi w:val="0"/>
              <w:jc w:val="center"/>
              <w:rPr>
                <w:color w:val="auto"/>
                <w:sz w:val="22"/>
                <w:szCs w:val="22"/>
                <w:highlight w:val="none"/>
              </w:rPr>
            </w:pPr>
            <w:r>
              <w:rPr>
                <w:color w:val="auto"/>
                <w:sz w:val="22"/>
                <w:szCs w:val="22"/>
                <w:highlight w:val="none"/>
              </w:rPr>
              <w:t>投标保证金</w:t>
            </w:r>
          </w:p>
        </w:tc>
        <w:tc>
          <w:tcPr>
            <w:tcW w:w="7063" w:type="dxa"/>
            <w:gridSpan w:val="2"/>
            <w:vAlign w:val="center"/>
          </w:tcPr>
          <w:p>
            <w:pPr>
              <w:pStyle w:val="29"/>
              <w:numPr>
                <w:ilvl w:val="0"/>
                <w:numId w:val="3"/>
              </w:numPr>
              <w:tabs>
                <w:tab w:val="left" w:pos="323"/>
              </w:tabs>
              <w:spacing w:before="43" w:after="0" w:line="240" w:lineRule="auto"/>
              <w:ind w:left="322" w:right="0" w:hanging="217"/>
              <w:jc w:val="left"/>
              <w:rPr>
                <w:b w:val="0"/>
                <w:bCs w:val="0"/>
                <w:color w:val="auto"/>
                <w:sz w:val="22"/>
                <w:szCs w:val="22"/>
                <w:highlight w:val="none"/>
              </w:rPr>
            </w:pPr>
            <w:r>
              <w:rPr>
                <w:b w:val="0"/>
                <w:bCs w:val="0"/>
                <w:color w:val="auto"/>
                <w:sz w:val="22"/>
                <w:szCs w:val="22"/>
                <w:highlight w:val="none"/>
              </w:rPr>
              <w:t>投标保证金的金额</w:t>
            </w:r>
            <w:r>
              <w:rPr>
                <w:b w:val="0"/>
                <w:bCs w:val="0"/>
                <w:color w:val="auto"/>
                <w:spacing w:val="3"/>
                <w:sz w:val="22"/>
                <w:szCs w:val="22"/>
                <w:highlight w:val="none"/>
              </w:rPr>
              <w:t>：</w:t>
            </w:r>
            <w:r>
              <w:rPr>
                <w:rFonts w:hint="default" w:ascii="Arial" w:hAnsi="Arial" w:cs="Arial"/>
                <w:b/>
                <w:bCs/>
                <w:color w:val="auto"/>
                <w:sz w:val="22"/>
                <w:szCs w:val="22"/>
                <w:highlight w:val="none"/>
              </w:rPr>
              <w:t>¥</w:t>
            </w:r>
            <w:r>
              <w:rPr>
                <w:rFonts w:hint="eastAsia"/>
                <w:b/>
                <w:bCs/>
                <w:color w:val="auto"/>
                <w:sz w:val="22"/>
                <w:szCs w:val="22"/>
                <w:highlight w:val="none"/>
                <w:lang w:val="en-US" w:eastAsia="zh-CN"/>
              </w:rPr>
              <w:t>300,000.00</w:t>
            </w:r>
            <w:r>
              <w:rPr>
                <w:b/>
                <w:bCs/>
                <w:color w:val="auto"/>
                <w:sz w:val="22"/>
                <w:szCs w:val="22"/>
                <w:highlight w:val="none"/>
              </w:rPr>
              <w:t>（大写：</w:t>
            </w:r>
            <w:r>
              <w:rPr>
                <w:rFonts w:hint="eastAsia"/>
                <w:b/>
                <w:bCs/>
                <w:color w:val="auto"/>
                <w:sz w:val="22"/>
                <w:szCs w:val="22"/>
                <w:highlight w:val="none"/>
                <w:lang w:val="en-US" w:eastAsia="zh-CN"/>
              </w:rPr>
              <w:t>人民币叁拾万元</w:t>
            </w:r>
            <w:r>
              <w:rPr>
                <w:rFonts w:hint="eastAsia"/>
                <w:b/>
                <w:bCs/>
                <w:color w:val="auto"/>
                <w:sz w:val="22"/>
                <w:szCs w:val="22"/>
                <w:highlight w:val="none"/>
                <w:lang w:eastAsia="zh-CN"/>
              </w:rPr>
              <w:t>整</w:t>
            </w:r>
            <w:r>
              <w:rPr>
                <w:b/>
                <w:bCs/>
                <w:color w:val="auto"/>
                <w:sz w:val="22"/>
                <w:szCs w:val="22"/>
                <w:highlight w:val="none"/>
              </w:rPr>
              <w:t>）</w:t>
            </w:r>
            <w:r>
              <w:rPr>
                <w:b w:val="0"/>
                <w:bCs w:val="0"/>
                <w:color w:val="auto"/>
                <w:sz w:val="22"/>
                <w:szCs w:val="22"/>
                <w:highlight w:val="none"/>
              </w:rPr>
              <w:t>。</w:t>
            </w:r>
          </w:p>
          <w:p>
            <w:pPr>
              <w:pStyle w:val="29"/>
              <w:numPr>
                <w:ilvl w:val="0"/>
                <w:numId w:val="3"/>
              </w:numPr>
              <w:tabs>
                <w:tab w:val="left" w:pos="323"/>
              </w:tabs>
              <w:spacing w:before="91" w:after="0" w:line="240" w:lineRule="auto"/>
              <w:ind w:left="322" w:right="0" w:hanging="217"/>
              <w:jc w:val="left"/>
              <w:rPr>
                <w:color w:val="auto"/>
                <w:sz w:val="22"/>
                <w:szCs w:val="22"/>
                <w:highlight w:val="none"/>
              </w:rPr>
            </w:pPr>
            <w:r>
              <w:rPr>
                <w:b w:val="0"/>
                <w:bCs w:val="0"/>
                <w:color w:val="auto"/>
                <w:sz w:val="22"/>
                <w:szCs w:val="22"/>
                <w:highlight w:val="none"/>
              </w:rPr>
              <w:t>缴</w:t>
            </w:r>
            <w:r>
              <w:rPr>
                <w:color w:val="auto"/>
                <w:sz w:val="22"/>
                <w:szCs w:val="22"/>
                <w:highlight w:val="none"/>
              </w:rPr>
              <w:t>纳时间</w:t>
            </w:r>
            <w:r>
              <w:rPr>
                <w:b/>
                <w:bCs/>
                <w:color w:val="auto"/>
                <w:sz w:val="22"/>
                <w:szCs w:val="22"/>
                <w:highlight w:val="none"/>
              </w:rPr>
              <w:t>:</w:t>
            </w:r>
            <w:r>
              <w:rPr>
                <w:b/>
                <w:bCs/>
                <w:color w:val="auto"/>
                <w:sz w:val="22"/>
                <w:szCs w:val="22"/>
                <w:highlight w:val="none"/>
                <w:u w:val="single"/>
              </w:rPr>
              <w:t>202</w:t>
            </w:r>
            <w:r>
              <w:rPr>
                <w:rFonts w:hint="eastAsia"/>
                <w:b/>
                <w:bCs/>
                <w:color w:val="auto"/>
                <w:sz w:val="22"/>
                <w:szCs w:val="22"/>
                <w:highlight w:val="none"/>
                <w:u w:val="single"/>
                <w:lang w:val="en-US" w:eastAsia="zh-CN"/>
              </w:rPr>
              <w:t>2</w:t>
            </w:r>
            <w:r>
              <w:rPr>
                <w:b/>
                <w:bCs/>
                <w:color w:val="auto"/>
                <w:sz w:val="22"/>
                <w:szCs w:val="22"/>
                <w:highlight w:val="none"/>
              </w:rPr>
              <w:t>年</w:t>
            </w:r>
            <w:r>
              <w:rPr>
                <w:rFonts w:hint="eastAsia"/>
                <w:b/>
                <w:bCs/>
                <w:color w:val="auto"/>
                <w:sz w:val="22"/>
                <w:szCs w:val="22"/>
                <w:highlight w:val="none"/>
                <w:u w:val="single"/>
                <w:lang w:val="en-US" w:eastAsia="zh-CN"/>
              </w:rPr>
              <w:t xml:space="preserve">  9 </w:t>
            </w:r>
            <w:r>
              <w:rPr>
                <w:b/>
                <w:bCs/>
                <w:color w:val="auto"/>
                <w:sz w:val="22"/>
                <w:szCs w:val="22"/>
                <w:highlight w:val="none"/>
              </w:rPr>
              <w:t>月</w:t>
            </w:r>
            <w:r>
              <w:rPr>
                <w:rFonts w:hint="eastAsia"/>
                <w:b/>
                <w:bCs/>
                <w:color w:val="auto"/>
                <w:sz w:val="22"/>
                <w:szCs w:val="22"/>
                <w:highlight w:val="none"/>
                <w:u w:val="single"/>
                <w:lang w:val="en-US" w:eastAsia="zh-CN"/>
              </w:rPr>
              <w:t xml:space="preserve">  13  </w:t>
            </w:r>
            <w:r>
              <w:rPr>
                <w:b/>
                <w:bCs/>
                <w:color w:val="auto"/>
                <w:sz w:val="22"/>
                <w:szCs w:val="22"/>
                <w:highlight w:val="none"/>
              </w:rPr>
              <w:t xml:space="preserve">日 </w:t>
            </w:r>
            <w:r>
              <w:rPr>
                <w:rFonts w:hint="eastAsia"/>
                <w:b/>
                <w:bCs/>
                <w:color w:val="auto"/>
                <w:sz w:val="22"/>
                <w:szCs w:val="22"/>
                <w:highlight w:val="none"/>
                <w:u w:val="single"/>
                <w:lang w:val="en-US" w:eastAsia="zh-CN"/>
              </w:rPr>
              <w:t xml:space="preserve"> 08  </w:t>
            </w:r>
            <w:r>
              <w:rPr>
                <w:b/>
                <w:bCs/>
                <w:color w:val="auto"/>
                <w:sz w:val="22"/>
                <w:szCs w:val="22"/>
                <w:highlight w:val="none"/>
                <w:u w:val="single"/>
              </w:rPr>
              <w:t xml:space="preserve"> </w:t>
            </w:r>
            <w:r>
              <w:rPr>
                <w:b/>
                <w:bCs/>
                <w:color w:val="auto"/>
                <w:sz w:val="22"/>
                <w:szCs w:val="22"/>
                <w:highlight w:val="none"/>
              </w:rPr>
              <w:t xml:space="preserve">时 </w:t>
            </w:r>
            <w:r>
              <w:rPr>
                <w:rFonts w:hint="eastAsia"/>
                <w:b/>
                <w:bCs/>
                <w:color w:val="auto"/>
                <w:sz w:val="22"/>
                <w:szCs w:val="22"/>
                <w:highlight w:val="none"/>
                <w:u w:val="single"/>
                <w:lang w:val="en-US" w:eastAsia="zh-CN"/>
              </w:rPr>
              <w:t xml:space="preserve"> 30 </w:t>
            </w:r>
            <w:r>
              <w:rPr>
                <w:b/>
                <w:bCs/>
                <w:color w:val="auto"/>
                <w:sz w:val="22"/>
                <w:szCs w:val="22"/>
                <w:highlight w:val="none"/>
                <w:u w:val="single"/>
              </w:rPr>
              <w:t xml:space="preserve"> </w:t>
            </w:r>
            <w:r>
              <w:rPr>
                <w:b/>
                <w:bCs/>
                <w:color w:val="auto"/>
                <w:sz w:val="22"/>
                <w:szCs w:val="22"/>
                <w:highlight w:val="none"/>
              </w:rPr>
              <w:t>分</w:t>
            </w:r>
            <w:r>
              <w:rPr>
                <w:color w:val="auto"/>
                <w:sz w:val="22"/>
                <w:szCs w:val="22"/>
                <w:highlight w:val="none"/>
              </w:rPr>
              <w:t>前(以到账时间为准)。</w:t>
            </w:r>
          </w:p>
          <w:p>
            <w:pPr>
              <w:pStyle w:val="29"/>
              <w:numPr>
                <w:ilvl w:val="0"/>
                <w:numId w:val="3"/>
              </w:numPr>
              <w:tabs>
                <w:tab w:val="left" w:pos="323"/>
              </w:tabs>
              <w:spacing w:before="88" w:after="0" w:line="240" w:lineRule="auto"/>
              <w:ind w:left="322" w:right="0" w:hanging="217"/>
              <w:jc w:val="left"/>
              <w:rPr>
                <w:color w:val="auto"/>
                <w:sz w:val="22"/>
                <w:szCs w:val="22"/>
                <w:highlight w:val="none"/>
              </w:rPr>
            </w:pPr>
            <w:r>
              <w:rPr>
                <w:color w:val="auto"/>
                <w:sz w:val="22"/>
                <w:szCs w:val="22"/>
                <w:highlight w:val="none"/>
              </w:rPr>
              <w:t>缴纳方式(可采用如下任一方式):</w:t>
            </w:r>
          </w:p>
          <w:p>
            <w:pPr>
              <w:spacing w:line="360" w:lineRule="auto"/>
              <w:ind w:left="11" w:leftChars="0" w:hanging="11" w:hangingChars="5"/>
              <w:rPr>
                <w:rFonts w:hint="default" w:eastAsia="宋体"/>
                <w:color w:val="auto"/>
                <w:sz w:val="22"/>
                <w:szCs w:val="22"/>
                <w:highlight w:val="none"/>
                <w:lang w:val="en-US" w:eastAsia="zh-CN"/>
              </w:rPr>
            </w:pPr>
            <w:r>
              <w:rPr>
                <w:color w:val="auto"/>
                <w:sz w:val="22"/>
                <w:szCs w:val="22"/>
                <w:highlight w:val="none"/>
              </w:rPr>
              <w:t>方式一：银行转账。由</w:t>
            </w:r>
            <w:r>
              <w:rPr>
                <w:rFonts w:hint="eastAsia" w:ascii="宋体" w:hAnsi="宋体" w:eastAsia="宋体" w:cs="宋体"/>
                <w:color w:val="auto"/>
                <w:sz w:val="22"/>
                <w:szCs w:val="22"/>
                <w:highlight w:val="none"/>
                <w:lang w:val="zh-CN" w:eastAsia="zh-CN" w:bidi="zh-CN"/>
              </w:rPr>
              <w:t>广东晓君招标采购代理有限公司</w:t>
            </w:r>
            <w:r>
              <w:rPr>
                <w:color w:val="auto"/>
                <w:sz w:val="22"/>
                <w:szCs w:val="22"/>
                <w:highlight w:val="none"/>
              </w:rPr>
              <w:t>代收退本项目采取银行转账方式提交的投标担保。具体缴纳要求如下:①投标担保不采用直接存款或缴纳现金的方式，必须从投标人基本账户按要求转出，转账单(或电汇单)注明“</w:t>
            </w:r>
            <w:r>
              <w:rPr>
                <w:rFonts w:hint="eastAsia"/>
                <w:b/>
                <w:bCs/>
                <w:color w:val="auto"/>
                <w:sz w:val="22"/>
                <w:szCs w:val="22"/>
                <w:highlight w:val="none"/>
                <w:u w:val="single"/>
                <w:lang w:eastAsia="zh-CN"/>
              </w:rPr>
              <w:t>云安区生猪产业园—优质生猪标准化规模养殖基地项目</w:t>
            </w:r>
            <w:r>
              <w:rPr>
                <w:b/>
                <w:bCs/>
                <w:color w:val="auto"/>
                <w:sz w:val="22"/>
                <w:szCs w:val="22"/>
                <w:highlight w:val="none"/>
                <w:u w:val="single"/>
              </w:rPr>
              <w:t>投标保证金</w:t>
            </w:r>
            <w:r>
              <w:rPr>
                <w:color w:val="auto"/>
                <w:sz w:val="22"/>
                <w:szCs w:val="22"/>
                <w:highlight w:val="none"/>
              </w:rPr>
              <w:t>”字样(如转账单的备注内容有字数限制，可缩写)。</w:t>
            </w:r>
            <w:r>
              <w:rPr>
                <w:rFonts w:hint="default"/>
                <w:color w:val="auto"/>
                <w:sz w:val="22"/>
                <w:szCs w:val="22"/>
                <w:highlight w:val="none"/>
              </w:rPr>
              <w:t>②</w:t>
            </w:r>
            <w:r>
              <w:rPr>
                <w:rFonts w:hint="eastAsia" w:ascii="宋体" w:hAnsi="宋体" w:eastAsia="宋体" w:cs="宋体"/>
                <w:color w:val="auto"/>
                <w:sz w:val="22"/>
                <w:szCs w:val="22"/>
                <w:highlight w:val="none"/>
                <w:lang w:val="zh-CN" w:eastAsia="zh-CN" w:bidi="zh-CN"/>
              </w:rPr>
              <w:t>保证金收款人：广东晓君招标采购代理有限公司</w:t>
            </w:r>
            <w:r>
              <w:rPr>
                <w:rFonts w:hint="eastAsia" w:cs="宋体"/>
                <w:color w:val="auto"/>
                <w:sz w:val="22"/>
                <w:szCs w:val="22"/>
                <w:highlight w:val="none"/>
                <w:lang w:val="zh-CN" w:eastAsia="zh-CN" w:bidi="zh-CN"/>
              </w:rPr>
              <w:t>；</w:t>
            </w:r>
            <w:r>
              <w:rPr>
                <w:rFonts w:hint="eastAsia" w:ascii="宋体" w:hAnsi="宋体" w:eastAsia="宋体" w:cs="宋体"/>
                <w:color w:val="auto"/>
                <w:sz w:val="22"/>
                <w:szCs w:val="22"/>
                <w:highlight w:val="none"/>
                <w:lang w:val="zh-CN" w:eastAsia="zh-CN" w:bidi="zh-CN"/>
              </w:rPr>
              <w:t>账号：80020000016237241</w:t>
            </w:r>
            <w:r>
              <w:rPr>
                <w:rFonts w:hint="eastAsia" w:cs="宋体"/>
                <w:color w:val="auto"/>
                <w:sz w:val="22"/>
                <w:szCs w:val="22"/>
                <w:highlight w:val="none"/>
                <w:lang w:val="zh-CN" w:eastAsia="zh-CN" w:bidi="zh-CN"/>
              </w:rPr>
              <w:t>；</w:t>
            </w:r>
            <w:r>
              <w:rPr>
                <w:rFonts w:hint="eastAsia" w:ascii="宋体" w:hAnsi="宋体" w:eastAsia="宋体" w:cs="宋体"/>
                <w:color w:val="auto"/>
                <w:sz w:val="22"/>
                <w:szCs w:val="22"/>
                <w:highlight w:val="none"/>
                <w:lang w:val="zh-CN" w:eastAsia="zh-CN" w:bidi="zh-CN"/>
              </w:rPr>
              <w:t>开户银行：广东云浮农村商业银行股份有限公司高峰支行</w:t>
            </w:r>
            <w:r>
              <w:rPr>
                <w:rFonts w:hint="eastAsia" w:cs="宋体"/>
                <w:color w:val="auto"/>
                <w:sz w:val="22"/>
                <w:szCs w:val="22"/>
                <w:highlight w:val="none"/>
                <w:lang w:val="zh-CN" w:eastAsia="zh-CN" w:bidi="zh-CN"/>
              </w:rPr>
              <w:t>；</w:t>
            </w:r>
            <w:r>
              <w:rPr>
                <w:rFonts w:hint="eastAsia" w:ascii="宋体" w:hAnsi="宋体" w:eastAsia="宋体" w:cs="宋体"/>
                <w:color w:val="auto"/>
                <w:sz w:val="22"/>
                <w:szCs w:val="22"/>
                <w:highlight w:val="none"/>
                <w:lang w:val="zh-CN" w:eastAsia="zh-CN" w:bidi="zh-CN"/>
              </w:rPr>
              <w:t>财务联系人：黄小姐</w:t>
            </w:r>
            <w:r>
              <w:rPr>
                <w:rFonts w:hint="eastAsia" w:cs="宋体"/>
                <w:color w:val="auto"/>
                <w:sz w:val="22"/>
                <w:szCs w:val="22"/>
                <w:highlight w:val="none"/>
                <w:lang w:val="zh-CN" w:eastAsia="zh-CN" w:bidi="zh-CN"/>
              </w:rPr>
              <w:t>；</w:t>
            </w:r>
            <w:r>
              <w:rPr>
                <w:rFonts w:hint="eastAsia" w:ascii="宋体" w:hAnsi="宋体" w:eastAsia="宋体" w:cs="宋体"/>
                <w:color w:val="auto"/>
                <w:sz w:val="22"/>
                <w:szCs w:val="22"/>
                <w:highlight w:val="none"/>
                <w:lang w:val="zh-CN" w:eastAsia="zh-CN" w:bidi="zh-CN"/>
              </w:rPr>
              <w:t>财务联系电话：0766-8399668</w:t>
            </w:r>
            <w:r>
              <w:rPr>
                <w:color w:val="auto"/>
                <w:sz w:val="22"/>
                <w:szCs w:val="22"/>
                <w:highlight w:val="none"/>
              </w:rPr>
              <w:t>。</w:t>
            </w:r>
            <w:r>
              <w:rPr>
                <w:color w:val="auto"/>
                <w:spacing w:val="2"/>
                <w:sz w:val="22"/>
                <w:szCs w:val="22"/>
                <w:highlight w:val="none"/>
              </w:rPr>
              <w:t>③</w:t>
            </w:r>
            <w:r>
              <w:rPr>
                <w:rFonts w:hint="eastAsia"/>
                <w:color w:val="auto"/>
                <w:sz w:val="22"/>
                <w:szCs w:val="22"/>
                <w:highlight w:val="none"/>
                <w:lang w:val="en-US" w:eastAsia="zh-CN"/>
              </w:rPr>
              <w:t>投标时提供</w:t>
            </w:r>
            <w:r>
              <w:rPr>
                <w:color w:val="auto"/>
                <w:sz w:val="22"/>
                <w:szCs w:val="22"/>
                <w:highlight w:val="none"/>
              </w:rPr>
              <w:t>时带开户许可证或银行出具基本账户证明的复印件、银行转账单回执。</w:t>
            </w:r>
          </w:p>
          <w:p>
            <w:pPr>
              <w:pStyle w:val="29"/>
              <w:numPr>
                <w:ilvl w:val="0"/>
                <w:numId w:val="4"/>
              </w:numPr>
              <w:tabs>
                <w:tab w:val="left" w:pos="429"/>
              </w:tabs>
              <w:spacing w:before="91" w:after="0" w:line="319" w:lineRule="auto"/>
              <w:ind w:left="106" w:right="102" w:firstLine="0"/>
              <w:jc w:val="left"/>
              <w:rPr>
                <w:rFonts w:hint="default" w:eastAsia="宋体"/>
                <w:color w:val="auto"/>
                <w:sz w:val="22"/>
                <w:szCs w:val="22"/>
                <w:highlight w:val="none"/>
                <w:lang w:val="en-US" w:eastAsia="zh-CN"/>
              </w:rPr>
            </w:pPr>
            <w:r>
              <w:rPr>
                <w:color w:val="auto"/>
                <w:sz w:val="22"/>
                <w:szCs w:val="22"/>
                <w:highlight w:val="none"/>
              </w:rPr>
              <w:t>方式二：投标保函。开具保函的银行、担保公司须符合《关于商业银行、保险公司、担保机构开展建筑市场相关业务实行清单管理的通知》（云建市〔2018〕48号）的要求，并在云浮市住房和城乡建设局公布的最新期商业银行、保险公司、担保机构名录公示中。投标保函须为无条件且不可撤销，有效期不得少于投标文件的有效期。投标文件中提交投标保函的复印件，并作为其投标文件的组成部分。投标保函原件须在投标截止前单独密封与投标文件一起递交给招标代理</w:t>
            </w:r>
            <w:r>
              <w:rPr>
                <w:rFonts w:hint="eastAsia"/>
                <w:color w:val="auto"/>
                <w:sz w:val="22"/>
                <w:szCs w:val="22"/>
                <w:highlight w:val="none"/>
                <w:lang w:val="en-US" w:eastAsia="zh-CN"/>
              </w:rPr>
              <w:t>或招标人。</w:t>
            </w:r>
          </w:p>
          <w:p>
            <w:pPr>
              <w:pStyle w:val="29"/>
              <w:numPr>
                <w:ilvl w:val="0"/>
                <w:numId w:val="4"/>
              </w:numPr>
              <w:tabs>
                <w:tab w:val="left" w:pos="429"/>
              </w:tabs>
              <w:spacing w:before="3" w:after="0" w:line="319" w:lineRule="auto"/>
              <w:ind w:left="106" w:right="99" w:firstLine="0"/>
              <w:jc w:val="left"/>
              <w:rPr>
                <w:color w:val="auto"/>
                <w:sz w:val="22"/>
                <w:szCs w:val="22"/>
                <w:highlight w:val="none"/>
              </w:rPr>
            </w:pPr>
            <w:r>
              <w:rPr>
                <w:color w:val="auto"/>
                <w:sz w:val="22"/>
                <w:szCs w:val="22"/>
                <w:highlight w:val="none"/>
              </w:rPr>
              <w:t>方式三：保证保险。提供保证保险的保险公司、担保公司须符合《关于商业银行、保险公司、担保机构开展建筑市场相关业务实行清单管理的通知》（云建市〔2018〕48号）的要求，并在云浮市住房和城乡建设局公布的最新一期商业银行、保险公司、担保机构名录公示中。保证保险不得为一般保证保险，须为无条件见索即付类型保证保险且不可撤销，有效期不得少于投标文件的有效期。投标文件中提交投标保证保险的复印件，并作为其投标文件的组成部分。投标保证保险原件须在投标截止前单独密封与投标文件一起递交给招标代理或招标人。</w:t>
            </w:r>
          </w:p>
          <w:p>
            <w:pPr>
              <w:pStyle w:val="29"/>
              <w:numPr>
                <w:ilvl w:val="0"/>
                <w:numId w:val="5"/>
              </w:numPr>
              <w:tabs>
                <w:tab w:val="left" w:pos="426"/>
              </w:tabs>
              <w:spacing w:before="43" w:after="0" w:line="319" w:lineRule="auto"/>
              <w:ind w:left="106" w:right="99" w:firstLine="0"/>
              <w:jc w:val="both"/>
              <w:rPr>
                <w:color w:val="auto"/>
                <w:sz w:val="22"/>
                <w:szCs w:val="22"/>
                <w:highlight w:val="none"/>
              </w:rPr>
            </w:pPr>
            <w:r>
              <w:rPr>
                <w:color w:val="auto"/>
                <w:sz w:val="22"/>
                <w:szCs w:val="22"/>
                <w:highlight w:val="none"/>
              </w:rPr>
              <w:t>开标时由</w:t>
            </w:r>
            <w:r>
              <w:rPr>
                <w:rFonts w:hint="eastAsia"/>
                <w:color w:val="auto"/>
                <w:sz w:val="22"/>
                <w:szCs w:val="22"/>
                <w:highlight w:val="none"/>
                <w:lang w:val="en-US" w:eastAsia="zh-CN"/>
              </w:rPr>
              <w:t>招标代理</w:t>
            </w:r>
            <w:r>
              <w:rPr>
                <w:color w:val="auto"/>
                <w:sz w:val="22"/>
                <w:szCs w:val="22"/>
                <w:highlight w:val="none"/>
              </w:rPr>
              <w:t>确认采用方式一递交的投标担保的投标人的投标保证金已按时到账，不按要求到账的其投标文件不予评审，退还时按投标人名称与转出账户退还。由招标代理或招标人宣布采用方式二或方式三递交投标担保的接受情况，未递交或未于投标截止时间前递交的其投标文件不予评审。</w:t>
            </w:r>
          </w:p>
          <w:p>
            <w:pPr>
              <w:pStyle w:val="29"/>
              <w:numPr>
                <w:ilvl w:val="0"/>
                <w:numId w:val="5"/>
              </w:numPr>
              <w:tabs>
                <w:tab w:val="left" w:pos="323"/>
              </w:tabs>
              <w:spacing w:before="6" w:after="0" w:line="319" w:lineRule="auto"/>
              <w:ind w:left="106" w:right="102" w:firstLine="0"/>
              <w:jc w:val="both"/>
              <w:rPr>
                <w:color w:val="auto"/>
                <w:sz w:val="22"/>
                <w:szCs w:val="22"/>
                <w:highlight w:val="none"/>
              </w:rPr>
            </w:pPr>
            <w:r>
              <w:rPr>
                <w:color w:val="auto"/>
                <w:sz w:val="22"/>
                <w:szCs w:val="22"/>
                <w:highlight w:val="none"/>
              </w:rPr>
              <w:t>投标人以投标保函或保证保险进行投标担保的，如出现招标文件“第二章投标人须知”中正文第3.4.4条规定的行为，招标人有权向投标人提供担保单位提出与担保金额等额的索赔，投标人不得有异议。</w:t>
            </w:r>
          </w:p>
          <w:p>
            <w:pPr>
              <w:pStyle w:val="29"/>
              <w:numPr>
                <w:ilvl w:val="0"/>
                <w:numId w:val="5"/>
              </w:numPr>
              <w:tabs>
                <w:tab w:val="left" w:pos="323"/>
              </w:tabs>
              <w:spacing w:before="1" w:after="0" w:line="319" w:lineRule="auto"/>
              <w:ind w:left="106" w:right="102" w:firstLine="0"/>
              <w:jc w:val="both"/>
              <w:rPr>
                <w:color w:val="auto"/>
                <w:sz w:val="22"/>
                <w:szCs w:val="22"/>
                <w:highlight w:val="none"/>
              </w:rPr>
            </w:pPr>
            <w:r>
              <w:rPr>
                <w:color w:val="auto"/>
                <w:sz w:val="22"/>
                <w:szCs w:val="22"/>
                <w:highlight w:val="none"/>
              </w:rPr>
              <w:t>对方式一的投标保证金，</w:t>
            </w:r>
            <w:r>
              <w:rPr>
                <w:rFonts w:hint="eastAsia"/>
                <w:color w:val="auto"/>
                <w:sz w:val="22"/>
                <w:szCs w:val="22"/>
                <w:highlight w:val="none"/>
                <w:lang w:val="en-US" w:eastAsia="zh-CN"/>
              </w:rPr>
              <w:t>招标代理机构</w:t>
            </w:r>
            <w:r>
              <w:rPr>
                <w:color w:val="auto"/>
                <w:sz w:val="22"/>
                <w:szCs w:val="22"/>
                <w:highlight w:val="none"/>
              </w:rPr>
              <w:t>在中标通知书发出之日起5日内将投标保证金</w:t>
            </w:r>
            <w:r>
              <w:rPr>
                <w:rFonts w:hint="eastAsia"/>
                <w:color w:val="auto"/>
                <w:sz w:val="22"/>
                <w:szCs w:val="22"/>
                <w:highlight w:val="none"/>
                <w:lang w:val="en-US" w:eastAsia="zh-CN"/>
              </w:rPr>
              <w:t>无息</w:t>
            </w:r>
            <w:r>
              <w:rPr>
                <w:color w:val="auto"/>
                <w:sz w:val="22"/>
                <w:szCs w:val="22"/>
                <w:highlight w:val="none"/>
              </w:rPr>
              <w:t>退回中标候选人以外的投标人。招标人应在发出中标通知书起30日内和中标人签订合同，中标人应于书面合同签订后3日内</w:t>
            </w:r>
            <w:r>
              <w:rPr>
                <w:rFonts w:hint="eastAsia"/>
                <w:color w:val="auto"/>
                <w:sz w:val="22"/>
                <w:szCs w:val="22"/>
                <w:highlight w:val="none"/>
                <w:lang w:val="en-US" w:eastAsia="zh-CN"/>
              </w:rPr>
              <w:t>递交一份合同原件至招标代理机构备案</w:t>
            </w:r>
            <w:r>
              <w:rPr>
                <w:color w:val="auto"/>
                <w:sz w:val="22"/>
                <w:szCs w:val="22"/>
                <w:highlight w:val="none"/>
              </w:rPr>
              <w:t>。</w:t>
            </w:r>
            <w:r>
              <w:rPr>
                <w:rFonts w:hint="eastAsia"/>
                <w:color w:val="auto"/>
                <w:sz w:val="22"/>
                <w:szCs w:val="22"/>
                <w:highlight w:val="none"/>
                <w:lang w:val="en-US" w:eastAsia="zh-CN"/>
              </w:rPr>
              <w:t>招标代理</w:t>
            </w:r>
            <w:r>
              <w:rPr>
                <w:color w:val="auto"/>
                <w:sz w:val="22"/>
                <w:szCs w:val="22"/>
                <w:highlight w:val="none"/>
              </w:rPr>
              <w:t>如在30日内未收到中标人的合同，无特殊情况的，</w:t>
            </w:r>
            <w:r>
              <w:rPr>
                <w:rFonts w:hint="eastAsia"/>
                <w:color w:val="auto"/>
                <w:sz w:val="22"/>
                <w:szCs w:val="22"/>
                <w:highlight w:val="none"/>
                <w:lang w:val="en-US" w:eastAsia="zh-CN"/>
              </w:rPr>
              <w:t>招标代理机构</w:t>
            </w:r>
            <w:r>
              <w:rPr>
                <w:color w:val="auto"/>
                <w:sz w:val="22"/>
                <w:szCs w:val="22"/>
                <w:highlight w:val="none"/>
              </w:rPr>
              <w:t>将在30日期满5个工作日内原路退还候选人及中标人保证金。</w:t>
            </w:r>
          </w:p>
          <w:p>
            <w:pPr>
              <w:pStyle w:val="29"/>
              <w:numPr>
                <w:ilvl w:val="0"/>
                <w:numId w:val="0"/>
              </w:numPr>
              <w:tabs>
                <w:tab w:val="left" w:pos="429"/>
              </w:tabs>
              <w:spacing w:before="10" w:after="0" w:line="319" w:lineRule="auto"/>
              <w:ind w:left="106" w:leftChars="0" w:right="-15" w:rightChars="0"/>
              <w:jc w:val="left"/>
              <w:rPr>
                <w:color w:val="auto"/>
                <w:sz w:val="22"/>
                <w:szCs w:val="22"/>
                <w:highlight w:val="none"/>
              </w:rPr>
            </w:pPr>
            <w:r>
              <w:rPr>
                <w:rFonts w:hint="eastAsia"/>
                <w:color w:val="auto"/>
                <w:sz w:val="22"/>
                <w:szCs w:val="22"/>
                <w:highlight w:val="none"/>
                <w:lang w:val="en-US" w:eastAsia="zh-CN"/>
              </w:rPr>
              <w:t>7.</w:t>
            </w:r>
            <w:r>
              <w:rPr>
                <w:color w:val="auto"/>
                <w:sz w:val="22"/>
                <w:szCs w:val="22"/>
                <w:highlight w:val="none"/>
              </w:rPr>
              <w:t>对方式二、方式三的投标担保，由招标人保管投标担保原件。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3.5.2</w:t>
            </w:r>
          </w:p>
        </w:tc>
        <w:tc>
          <w:tcPr>
            <w:tcW w:w="1916" w:type="dxa"/>
            <w:vAlign w:val="center"/>
          </w:tcPr>
          <w:p>
            <w:pPr>
              <w:bidi w:val="0"/>
              <w:jc w:val="center"/>
              <w:rPr>
                <w:color w:val="auto"/>
                <w:sz w:val="22"/>
                <w:szCs w:val="22"/>
                <w:highlight w:val="none"/>
                <w:u w:val="none"/>
              </w:rPr>
            </w:pPr>
            <w:r>
              <w:rPr>
                <w:color w:val="auto"/>
                <w:sz w:val="22"/>
                <w:szCs w:val="22"/>
                <w:highlight w:val="none"/>
                <w:u w:val="none"/>
              </w:rPr>
              <w:t>近年财务状况的年份要求</w:t>
            </w:r>
          </w:p>
        </w:tc>
        <w:tc>
          <w:tcPr>
            <w:tcW w:w="2065" w:type="dxa"/>
            <w:tcBorders>
              <w:right w:val="nil"/>
            </w:tcBorders>
            <w:vAlign w:val="center"/>
          </w:tcPr>
          <w:p>
            <w:pPr>
              <w:pStyle w:val="29"/>
              <w:spacing w:before="3"/>
              <w:rPr>
                <w:color w:val="auto"/>
                <w:sz w:val="22"/>
                <w:szCs w:val="22"/>
                <w:highlight w:val="none"/>
                <w:u w:val="none"/>
              </w:rPr>
            </w:pPr>
          </w:p>
          <w:p>
            <w:pPr>
              <w:pStyle w:val="29"/>
              <w:tabs>
                <w:tab w:val="left" w:pos="420"/>
                <w:tab w:val="left" w:pos="839"/>
              </w:tabs>
              <w:ind w:right="-173"/>
              <w:jc w:val="center"/>
              <w:rPr>
                <w:color w:val="auto"/>
                <w:sz w:val="22"/>
                <w:szCs w:val="22"/>
                <w:highlight w:val="none"/>
                <w:u w:val="none"/>
              </w:rPr>
            </w:pPr>
            <w:r>
              <w:rPr>
                <w:rFonts w:ascii="Times New Roman"/>
                <w:color w:val="auto"/>
                <w:w w:val="99"/>
                <w:sz w:val="22"/>
                <w:szCs w:val="22"/>
                <w:highlight w:val="none"/>
                <w:u w:val="none"/>
              </w:rPr>
              <w:t xml:space="preserve"> </w:t>
            </w:r>
            <w:r>
              <w:rPr>
                <w:color w:val="auto"/>
                <w:sz w:val="22"/>
                <w:szCs w:val="22"/>
                <w:highlight w:val="none"/>
                <w:u w:val="none"/>
              </w:rPr>
              <w:tab/>
            </w:r>
            <w:r>
              <w:rPr>
                <w:rFonts w:ascii="Times New Roman"/>
                <w:color w:val="auto"/>
                <w:w w:val="99"/>
                <w:sz w:val="22"/>
                <w:szCs w:val="22"/>
                <w:highlight w:val="none"/>
                <w:u w:val="single"/>
              </w:rPr>
              <w:t xml:space="preserve"> </w:t>
            </w:r>
            <w:r>
              <w:rPr>
                <w:rFonts w:hint="eastAsia" w:ascii="Times New Roman"/>
                <w:color w:val="auto"/>
                <w:w w:val="99"/>
                <w:sz w:val="22"/>
                <w:szCs w:val="22"/>
                <w:highlight w:val="none"/>
                <w:u w:val="single"/>
                <w:lang w:val="en-US" w:eastAsia="zh-CN"/>
              </w:rPr>
              <w:t xml:space="preserve">        </w:t>
            </w:r>
            <w:r>
              <w:rPr>
                <w:color w:val="auto"/>
                <w:sz w:val="22"/>
                <w:szCs w:val="22"/>
                <w:highlight w:val="none"/>
                <w:u w:val="single"/>
              </w:rPr>
              <w:t>/</w:t>
            </w:r>
            <w:r>
              <w:rPr>
                <w:rFonts w:hint="eastAsia"/>
                <w:color w:val="auto"/>
                <w:sz w:val="22"/>
                <w:szCs w:val="22"/>
                <w:highlight w:val="none"/>
                <w:u w:val="single"/>
                <w:lang w:val="en-US" w:eastAsia="zh-CN"/>
              </w:rPr>
              <w:t xml:space="preserve">  </w:t>
            </w:r>
            <w:r>
              <w:rPr>
                <w:color w:val="auto"/>
                <w:sz w:val="22"/>
                <w:szCs w:val="22"/>
                <w:highlight w:val="none"/>
                <w:u w:val="none"/>
              </w:rPr>
              <w:tab/>
            </w:r>
          </w:p>
        </w:tc>
        <w:tc>
          <w:tcPr>
            <w:tcW w:w="4998" w:type="dxa"/>
            <w:tcBorders>
              <w:left w:val="nil"/>
            </w:tcBorders>
            <w:vAlign w:val="center"/>
          </w:tcPr>
          <w:p>
            <w:pPr>
              <w:pStyle w:val="29"/>
              <w:spacing w:before="3"/>
              <w:rPr>
                <w:color w:val="auto"/>
                <w:sz w:val="22"/>
                <w:szCs w:val="22"/>
                <w:highlight w:val="none"/>
              </w:rPr>
            </w:pPr>
          </w:p>
          <w:p>
            <w:pPr>
              <w:bidi w:val="0"/>
              <w:rPr>
                <w:color w:val="auto"/>
                <w:sz w:val="22"/>
                <w:szCs w:val="22"/>
                <w:highlight w:val="none"/>
              </w:rPr>
            </w:pPr>
            <w:r>
              <w:rPr>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3.5.3</w:t>
            </w:r>
          </w:p>
        </w:tc>
        <w:tc>
          <w:tcPr>
            <w:tcW w:w="1916" w:type="dxa"/>
            <w:vAlign w:val="center"/>
          </w:tcPr>
          <w:p>
            <w:pPr>
              <w:bidi w:val="0"/>
              <w:jc w:val="center"/>
              <w:rPr>
                <w:color w:val="auto"/>
                <w:sz w:val="22"/>
                <w:szCs w:val="22"/>
                <w:highlight w:val="none"/>
              </w:rPr>
            </w:pPr>
            <w:r>
              <w:rPr>
                <w:color w:val="auto"/>
                <w:sz w:val="22"/>
                <w:szCs w:val="22"/>
                <w:highlight w:val="none"/>
              </w:rPr>
              <w:t>近年完成的类似项目的年份要求</w:t>
            </w:r>
          </w:p>
        </w:tc>
        <w:tc>
          <w:tcPr>
            <w:tcW w:w="2065" w:type="dxa"/>
            <w:tcBorders>
              <w:right w:val="nil"/>
            </w:tcBorders>
            <w:vAlign w:val="center"/>
          </w:tcPr>
          <w:p>
            <w:pPr>
              <w:pStyle w:val="29"/>
              <w:spacing w:before="5"/>
              <w:rPr>
                <w:color w:val="auto"/>
                <w:sz w:val="22"/>
                <w:szCs w:val="22"/>
                <w:highlight w:val="none"/>
              </w:rPr>
            </w:pPr>
          </w:p>
          <w:p>
            <w:pPr>
              <w:bidi w:val="0"/>
              <w:jc w:val="center"/>
              <w:rPr>
                <w:rFonts w:hint="default" w:eastAsia="宋体"/>
                <w:color w:val="auto"/>
                <w:sz w:val="22"/>
                <w:szCs w:val="22"/>
                <w:highlight w:val="none"/>
                <w:u w:val="none"/>
                <w:lang w:val="en-US" w:eastAsia="zh-CN"/>
              </w:rPr>
            </w:pPr>
            <w:r>
              <w:rPr>
                <w:rFonts w:ascii="Times New Roman"/>
                <w:color w:val="auto"/>
                <w:w w:val="99"/>
                <w:sz w:val="22"/>
                <w:szCs w:val="22"/>
                <w:highlight w:val="none"/>
                <w:u w:val="single"/>
              </w:rPr>
              <w:t xml:space="preserve"> </w:t>
            </w:r>
            <w:r>
              <w:rPr>
                <w:rFonts w:hint="eastAsia" w:ascii="Times New Roman"/>
                <w:color w:val="auto"/>
                <w:w w:val="99"/>
                <w:sz w:val="22"/>
                <w:szCs w:val="22"/>
                <w:highlight w:val="none"/>
                <w:u w:val="single"/>
                <w:lang w:val="en-US" w:eastAsia="zh-CN"/>
              </w:rPr>
              <w:t xml:space="preserve">        </w:t>
            </w:r>
            <w:r>
              <w:rPr>
                <w:color w:val="auto"/>
                <w:sz w:val="22"/>
                <w:szCs w:val="22"/>
                <w:highlight w:val="none"/>
                <w:u w:val="single"/>
              </w:rPr>
              <w:t>/</w:t>
            </w:r>
            <w:r>
              <w:rPr>
                <w:rFonts w:hint="eastAsia"/>
                <w:color w:val="auto"/>
                <w:sz w:val="22"/>
                <w:szCs w:val="22"/>
                <w:highlight w:val="none"/>
                <w:u w:val="single"/>
                <w:lang w:val="en-US" w:eastAsia="zh-CN"/>
              </w:rPr>
              <w:t xml:space="preserve">  </w:t>
            </w:r>
          </w:p>
        </w:tc>
        <w:tc>
          <w:tcPr>
            <w:tcW w:w="4998" w:type="dxa"/>
            <w:tcBorders>
              <w:left w:val="nil"/>
            </w:tcBorders>
            <w:vAlign w:val="center"/>
          </w:tcPr>
          <w:p>
            <w:pPr>
              <w:pStyle w:val="29"/>
              <w:spacing w:before="5"/>
              <w:rPr>
                <w:color w:val="auto"/>
                <w:sz w:val="22"/>
                <w:szCs w:val="22"/>
                <w:highlight w:val="none"/>
              </w:rPr>
            </w:pPr>
          </w:p>
          <w:p>
            <w:pPr>
              <w:bidi w:val="0"/>
              <w:rPr>
                <w:color w:val="auto"/>
                <w:sz w:val="22"/>
                <w:szCs w:val="22"/>
                <w:highlight w:val="none"/>
              </w:rPr>
            </w:pPr>
            <w:r>
              <w:rPr>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3.5.4</w:t>
            </w:r>
          </w:p>
        </w:tc>
        <w:tc>
          <w:tcPr>
            <w:tcW w:w="1916" w:type="dxa"/>
            <w:vAlign w:val="center"/>
          </w:tcPr>
          <w:p>
            <w:pPr>
              <w:bidi w:val="0"/>
              <w:jc w:val="center"/>
              <w:rPr>
                <w:color w:val="auto"/>
                <w:sz w:val="22"/>
                <w:szCs w:val="22"/>
                <w:highlight w:val="none"/>
              </w:rPr>
            </w:pPr>
            <w:r>
              <w:rPr>
                <w:color w:val="auto"/>
                <w:sz w:val="22"/>
                <w:szCs w:val="22"/>
                <w:highlight w:val="none"/>
              </w:rPr>
              <w:t>近年发生的诉讼及仲裁情况的年要求</w:t>
            </w:r>
          </w:p>
        </w:tc>
        <w:tc>
          <w:tcPr>
            <w:tcW w:w="2065" w:type="dxa"/>
            <w:tcBorders>
              <w:right w:val="nil"/>
            </w:tcBorders>
            <w:vAlign w:val="center"/>
          </w:tcPr>
          <w:p>
            <w:pPr>
              <w:pStyle w:val="29"/>
              <w:spacing w:before="5"/>
              <w:rPr>
                <w:color w:val="auto"/>
                <w:sz w:val="22"/>
                <w:szCs w:val="22"/>
                <w:highlight w:val="none"/>
              </w:rPr>
            </w:pPr>
          </w:p>
          <w:p>
            <w:pPr>
              <w:pStyle w:val="29"/>
              <w:tabs>
                <w:tab w:val="left" w:pos="420"/>
                <w:tab w:val="left" w:pos="839"/>
              </w:tabs>
              <w:ind w:right="-173"/>
              <w:jc w:val="center"/>
              <w:rPr>
                <w:color w:val="auto"/>
                <w:sz w:val="22"/>
                <w:szCs w:val="22"/>
                <w:highlight w:val="none"/>
              </w:rPr>
            </w:pPr>
            <w:r>
              <w:rPr>
                <w:color w:val="auto"/>
                <w:sz w:val="22"/>
                <w:szCs w:val="22"/>
                <w:highlight w:val="none"/>
                <w:u w:val="single"/>
              </w:rPr>
              <w:tab/>
            </w:r>
            <w:r>
              <w:rPr>
                <w:color w:val="auto"/>
                <w:sz w:val="22"/>
                <w:szCs w:val="22"/>
                <w:highlight w:val="none"/>
                <w:u w:val="single"/>
              </w:rPr>
              <w:t>/</w:t>
            </w:r>
            <w:r>
              <w:rPr>
                <w:color w:val="auto"/>
                <w:sz w:val="22"/>
                <w:szCs w:val="22"/>
                <w:highlight w:val="none"/>
                <w:u w:val="single"/>
              </w:rPr>
              <w:tab/>
            </w:r>
          </w:p>
        </w:tc>
        <w:tc>
          <w:tcPr>
            <w:tcW w:w="4998" w:type="dxa"/>
            <w:tcBorders>
              <w:left w:val="nil"/>
            </w:tcBorders>
            <w:vAlign w:val="center"/>
          </w:tcPr>
          <w:p>
            <w:pPr>
              <w:pStyle w:val="29"/>
              <w:spacing w:before="5"/>
              <w:rPr>
                <w:color w:val="auto"/>
                <w:sz w:val="22"/>
                <w:szCs w:val="22"/>
                <w:highlight w:val="none"/>
              </w:rPr>
            </w:pPr>
          </w:p>
          <w:p>
            <w:pPr>
              <w:bidi w:val="0"/>
              <w:rPr>
                <w:color w:val="auto"/>
                <w:sz w:val="22"/>
                <w:szCs w:val="22"/>
                <w:highlight w:val="none"/>
              </w:rPr>
            </w:pPr>
            <w:r>
              <w:rPr>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3.6</w:t>
            </w:r>
          </w:p>
        </w:tc>
        <w:tc>
          <w:tcPr>
            <w:tcW w:w="1916" w:type="dxa"/>
            <w:vAlign w:val="center"/>
          </w:tcPr>
          <w:p>
            <w:pPr>
              <w:bidi w:val="0"/>
              <w:jc w:val="center"/>
              <w:rPr>
                <w:color w:val="auto"/>
                <w:sz w:val="22"/>
                <w:szCs w:val="22"/>
                <w:highlight w:val="none"/>
              </w:rPr>
            </w:pPr>
            <w:r>
              <w:rPr>
                <w:color w:val="auto"/>
                <w:sz w:val="22"/>
                <w:szCs w:val="22"/>
                <w:highlight w:val="none"/>
              </w:rPr>
              <w:t>是否允许递交备选投标方案</w:t>
            </w:r>
          </w:p>
        </w:tc>
        <w:tc>
          <w:tcPr>
            <w:tcW w:w="7063" w:type="dxa"/>
            <w:gridSpan w:val="2"/>
            <w:vAlign w:val="center"/>
          </w:tcPr>
          <w:p>
            <w:pPr>
              <w:bidi w:val="0"/>
              <w:rPr>
                <w:color w:val="auto"/>
                <w:sz w:val="22"/>
                <w:szCs w:val="22"/>
                <w:highlight w:val="none"/>
              </w:rPr>
            </w:pPr>
            <w:r>
              <w:rPr>
                <w:color w:val="auto"/>
                <w:sz w:val="22"/>
                <w:szCs w:val="22"/>
                <w:highlight w:val="none"/>
              </w:rPr>
              <w:sym w:font="Wingdings" w:char="00FE"/>
            </w:r>
            <w:r>
              <w:rPr>
                <w:color w:val="auto"/>
                <w:sz w:val="22"/>
                <w:szCs w:val="22"/>
                <w:highlight w:val="none"/>
              </w:rPr>
              <w:t>不允许</w:t>
            </w:r>
          </w:p>
          <w:p>
            <w:pPr>
              <w:bidi w:val="0"/>
              <w:rPr>
                <w:color w:val="auto"/>
                <w:sz w:val="22"/>
                <w:szCs w:val="22"/>
                <w:highlight w:val="none"/>
              </w:rPr>
            </w:pPr>
            <w:r>
              <w:rPr>
                <w:color w:val="auto"/>
                <w:sz w:val="22"/>
                <w:szCs w:val="22"/>
                <w:highlight w:val="none"/>
              </w:rPr>
              <w:sym w:font="Wingdings" w:char="00A8"/>
            </w:r>
            <w:r>
              <w:rPr>
                <w:color w:val="auto"/>
                <w:sz w:val="22"/>
                <w:szCs w:val="22"/>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3.7.3</w:t>
            </w:r>
          </w:p>
        </w:tc>
        <w:tc>
          <w:tcPr>
            <w:tcW w:w="1916" w:type="dxa"/>
            <w:vAlign w:val="center"/>
          </w:tcPr>
          <w:p>
            <w:pPr>
              <w:bidi w:val="0"/>
              <w:jc w:val="center"/>
              <w:rPr>
                <w:color w:val="auto"/>
                <w:sz w:val="22"/>
                <w:szCs w:val="22"/>
                <w:highlight w:val="none"/>
              </w:rPr>
            </w:pPr>
            <w:r>
              <w:rPr>
                <w:color w:val="auto"/>
                <w:sz w:val="22"/>
                <w:szCs w:val="22"/>
                <w:highlight w:val="none"/>
              </w:rPr>
              <w:t>签字或盖章要求</w:t>
            </w:r>
          </w:p>
        </w:tc>
        <w:tc>
          <w:tcPr>
            <w:tcW w:w="7063" w:type="dxa"/>
            <w:gridSpan w:val="2"/>
            <w:vAlign w:val="center"/>
          </w:tcPr>
          <w:p>
            <w:pPr>
              <w:pStyle w:val="29"/>
              <w:numPr>
                <w:ilvl w:val="0"/>
                <w:numId w:val="6"/>
              </w:numPr>
              <w:tabs>
                <w:tab w:val="left" w:pos="431"/>
              </w:tabs>
              <w:spacing w:before="42" w:after="0" w:line="319" w:lineRule="auto"/>
              <w:ind w:left="106" w:right="159" w:firstLine="0"/>
              <w:jc w:val="left"/>
              <w:rPr>
                <w:color w:val="auto"/>
                <w:sz w:val="22"/>
                <w:szCs w:val="22"/>
                <w:highlight w:val="none"/>
              </w:rPr>
            </w:pPr>
            <w:r>
              <w:rPr>
                <w:color w:val="auto"/>
                <w:sz w:val="22"/>
                <w:szCs w:val="22"/>
                <w:highlight w:val="none"/>
              </w:rPr>
              <w:t>所有投文件密封包装袋（盒箱）的封面应加盖公章，由法定代表人或其授权代理人签名或盖章。</w:t>
            </w:r>
          </w:p>
          <w:p>
            <w:pPr>
              <w:pStyle w:val="29"/>
              <w:numPr>
                <w:ilvl w:val="0"/>
                <w:numId w:val="6"/>
              </w:numPr>
              <w:tabs>
                <w:tab w:val="left" w:pos="323"/>
              </w:tabs>
              <w:spacing w:before="2" w:after="0" w:line="240" w:lineRule="auto"/>
              <w:ind w:left="322" w:right="0" w:hanging="217"/>
              <w:jc w:val="left"/>
              <w:rPr>
                <w:color w:val="auto"/>
                <w:sz w:val="22"/>
                <w:szCs w:val="22"/>
                <w:highlight w:val="none"/>
              </w:rPr>
            </w:pPr>
            <w:r>
              <w:rPr>
                <w:color w:val="auto"/>
                <w:sz w:val="22"/>
                <w:szCs w:val="22"/>
                <w:highlight w:val="none"/>
              </w:rPr>
              <w:t>投标文件内容按格式本身要求签名盖章，否则视为无效标。</w:t>
            </w:r>
          </w:p>
          <w:p>
            <w:pPr>
              <w:pStyle w:val="29"/>
              <w:numPr>
                <w:ilvl w:val="0"/>
                <w:numId w:val="6"/>
              </w:numPr>
              <w:tabs>
                <w:tab w:val="left" w:pos="431"/>
              </w:tabs>
              <w:spacing w:before="91" w:after="0" w:line="319" w:lineRule="auto"/>
              <w:ind w:left="106" w:right="102" w:firstLine="0"/>
              <w:jc w:val="left"/>
              <w:rPr>
                <w:color w:val="auto"/>
                <w:sz w:val="22"/>
                <w:szCs w:val="22"/>
                <w:highlight w:val="none"/>
              </w:rPr>
            </w:pPr>
            <w:r>
              <w:rPr>
                <w:color w:val="auto"/>
                <w:sz w:val="22"/>
                <w:szCs w:val="22"/>
                <w:highlight w:val="none"/>
              </w:rPr>
              <w:t>投标文件应尽量避免涂改、行间插字或删除。如果出现上述</w:t>
            </w:r>
            <w:r>
              <w:rPr>
                <w:rFonts w:hint="eastAsia"/>
                <w:color w:val="auto"/>
                <w:sz w:val="22"/>
                <w:szCs w:val="22"/>
                <w:highlight w:val="none"/>
                <w:lang w:val="en-US" w:eastAsia="zh-CN"/>
              </w:rPr>
              <w:t>情</w:t>
            </w:r>
            <w:r>
              <w:rPr>
                <w:color w:val="auto"/>
                <w:sz w:val="22"/>
                <w:szCs w:val="22"/>
                <w:highlight w:val="none"/>
              </w:rPr>
              <w:t>况，改动之处应加盖单位章、或由投标人的法定代表人或其授权的代理人签字确认。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3.7.4</w:t>
            </w:r>
          </w:p>
        </w:tc>
        <w:tc>
          <w:tcPr>
            <w:tcW w:w="1916" w:type="dxa"/>
            <w:vAlign w:val="center"/>
          </w:tcPr>
          <w:p>
            <w:pPr>
              <w:bidi w:val="0"/>
              <w:jc w:val="center"/>
              <w:rPr>
                <w:color w:val="auto"/>
                <w:sz w:val="22"/>
                <w:szCs w:val="22"/>
                <w:highlight w:val="none"/>
              </w:rPr>
            </w:pPr>
            <w:r>
              <w:rPr>
                <w:color w:val="auto"/>
                <w:sz w:val="22"/>
                <w:szCs w:val="22"/>
                <w:highlight w:val="none"/>
              </w:rPr>
              <w:t>投标文件份数</w:t>
            </w:r>
          </w:p>
        </w:tc>
        <w:tc>
          <w:tcPr>
            <w:tcW w:w="7063" w:type="dxa"/>
            <w:gridSpan w:val="2"/>
            <w:vAlign w:val="center"/>
          </w:tcPr>
          <w:p>
            <w:pPr>
              <w:pStyle w:val="29"/>
              <w:spacing w:before="44"/>
              <w:ind w:left="113"/>
              <w:rPr>
                <w:color w:val="auto"/>
                <w:sz w:val="22"/>
                <w:szCs w:val="22"/>
                <w:highlight w:val="none"/>
              </w:rPr>
            </w:pPr>
            <w:r>
              <w:rPr>
                <w:color w:val="auto"/>
                <w:sz w:val="22"/>
                <w:szCs w:val="22"/>
                <w:highlight w:val="none"/>
              </w:rPr>
              <w:t>1、投标人提交的线下投文件共1包，具体如下:</w:t>
            </w:r>
          </w:p>
          <w:p>
            <w:pPr>
              <w:pStyle w:val="29"/>
              <w:spacing w:before="88"/>
              <w:ind w:left="113"/>
              <w:rPr>
                <w:color w:val="auto"/>
                <w:sz w:val="22"/>
                <w:szCs w:val="22"/>
                <w:highlight w:val="none"/>
              </w:rPr>
            </w:pPr>
            <w:r>
              <w:rPr>
                <w:b/>
                <w:bCs/>
                <w:color w:val="auto"/>
                <w:sz w:val="22"/>
                <w:szCs w:val="22"/>
                <w:highlight w:val="none"/>
              </w:rPr>
              <w:t>书面投标文件</w:t>
            </w:r>
            <w:r>
              <w:rPr>
                <w:b/>
                <w:color w:val="auto"/>
                <w:sz w:val="22"/>
                <w:szCs w:val="22"/>
                <w:highlight w:val="none"/>
              </w:rPr>
              <w:t xml:space="preserve">: </w:t>
            </w:r>
            <w:r>
              <w:rPr>
                <w:color w:val="auto"/>
                <w:sz w:val="22"/>
                <w:szCs w:val="22"/>
                <w:highlight w:val="none"/>
              </w:rPr>
              <w:t>1份正本、</w:t>
            </w:r>
            <w:r>
              <w:rPr>
                <w:rFonts w:hint="eastAsia"/>
                <w:color w:val="auto"/>
                <w:sz w:val="22"/>
                <w:szCs w:val="22"/>
                <w:highlight w:val="none"/>
                <w:lang w:val="en-US" w:eastAsia="zh-CN"/>
              </w:rPr>
              <w:t>5</w:t>
            </w:r>
            <w:r>
              <w:rPr>
                <w:color w:val="auto"/>
                <w:sz w:val="22"/>
                <w:szCs w:val="22"/>
                <w:highlight w:val="none"/>
              </w:rPr>
              <w:t>份副本。</w:t>
            </w:r>
          </w:p>
          <w:p>
            <w:pPr>
              <w:pStyle w:val="29"/>
              <w:spacing w:before="89" w:line="319" w:lineRule="auto"/>
              <w:ind w:left="113" w:right="102"/>
              <w:rPr>
                <w:color w:val="auto"/>
                <w:sz w:val="22"/>
                <w:szCs w:val="22"/>
                <w:highlight w:val="none"/>
              </w:rPr>
            </w:pPr>
            <w:r>
              <w:rPr>
                <w:b/>
                <w:bCs/>
                <w:color w:val="auto"/>
                <w:sz w:val="22"/>
                <w:szCs w:val="22"/>
                <w:highlight w:val="none"/>
              </w:rPr>
              <w:t>电子文件</w:t>
            </w:r>
            <w:r>
              <w:rPr>
                <w:b/>
                <w:color w:val="auto"/>
                <w:sz w:val="22"/>
                <w:szCs w:val="22"/>
                <w:highlight w:val="none"/>
              </w:rPr>
              <w:t>:</w:t>
            </w:r>
            <w:r>
              <w:rPr>
                <w:rFonts w:hint="eastAsia"/>
                <w:b/>
                <w:color w:val="auto"/>
                <w:sz w:val="22"/>
                <w:szCs w:val="22"/>
                <w:highlight w:val="none"/>
                <w:lang w:val="en-US" w:eastAsia="zh-CN"/>
              </w:rPr>
              <w:t>1</w:t>
            </w:r>
            <w:r>
              <w:rPr>
                <w:color w:val="auto"/>
                <w:sz w:val="22"/>
                <w:szCs w:val="22"/>
                <w:highlight w:val="none"/>
              </w:rPr>
              <w:t>份(即</w:t>
            </w:r>
            <w:r>
              <w:rPr>
                <w:rFonts w:hint="eastAsia"/>
                <w:color w:val="auto"/>
                <w:sz w:val="22"/>
                <w:szCs w:val="22"/>
                <w:highlight w:val="none"/>
                <w:lang w:val="en-US" w:eastAsia="zh-CN"/>
              </w:rPr>
              <w:t>U盘1个</w:t>
            </w:r>
            <w:r>
              <w:rPr>
                <w:color w:val="auto"/>
                <w:sz w:val="22"/>
                <w:szCs w:val="22"/>
                <w:highlight w:val="none"/>
              </w:rPr>
              <w:t>，内含有书面投标文件正本按要求签字盖章后的</w:t>
            </w:r>
            <w:r>
              <w:rPr>
                <w:rFonts w:hint="eastAsia"/>
                <w:color w:val="auto"/>
                <w:sz w:val="22"/>
                <w:szCs w:val="22"/>
                <w:highlight w:val="none"/>
                <w:lang w:val="en-US" w:eastAsia="zh-CN"/>
              </w:rPr>
              <w:t>P</w:t>
            </w:r>
            <w:r>
              <w:rPr>
                <w:color w:val="auto"/>
                <w:sz w:val="22"/>
                <w:szCs w:val="22"/>
                <w:highlight w:val="none"/>
              </w:rPr>
              <w:t>DF格式扫描件,以及使用工程造价计价软件编制的电子商务部分，内容不得进行任何删减)。</w:t>
            </w:r>
          </w:p>
          <w:p>
            <w:pPr>
              <w:pStyle w:val="29"/>
              <w:spacing w:before="4"/>
              <w:rPr>
                <w:color w:val="auto"/>
                <w:sz w:val="22"/>
                <w:szCs w:val="22"/>
                <w:highlight w:val="none"/>
              </w:rPr>
            </w:pPr>
            <w:r>
              <w:rPr>
                <w:b/>
                <w:bCs/>
                <w:color w:val="auto"/>
                <w:sz w:val="22"/>
                <w:szCs w:val="22"/>
                <w:highlight w:val="none"/>
              </w:rPr>
              <w:t>注</w:t>
            </w:r>
            <w:r>
              <w:rPr>
                <w:b/>
                <w:color w:val="auto"/>
                <w:w w:val="95"/>
                <w:sz w:val="22"/>
                <w:szCs w:val="22"/>
                <w:highlight w:val="none"/>
              </w:rPr>
              <w:t>:</w:t>
            </w:r>
            <w:r>
              <w:rPr>
                <w:b/>
                <w:bCs/>
                <w:color w:val="auto"/>
                <w:sz w:val="22"/>
                <w:szCs w:val="22"/>
                <w:highlight w:val="none"/>
              </w:rPr>
              <w:t>副本可以是正本按要求签字盖章后的复印件,但必须清晰可辨；当副本与正本不致时以正本为准。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pStyle w:val="29"/>
              <w:rPr>
                <w:color w:val="auto"/>
                <w:sz w:val="22"/>
                <w:szCs w:val="22"/>
                <w:highlight w:val="none"/>
              </w:rPr>
            </w:pPr>
          </w:p>
          <w:p>
            <w:pPr>
              <w:pStyle w:val="29"/>
              <w:rPr>
                <w:color w:val="auto"/>
                <w:sz w:val="22"/>
                <w:szCs w:val="22"/>
                <w:highlight w:val="none"/>
              </w:rPr>
            </w:pPr>
          </w:p>
          <w:p>
            <w:pPr>
              <w:pStyle w:val="29"/>
              <w:rPr>
                <w:color w:val="auto"/>
                <w:sz w:val="22"/>
                <w:szCs w:val="22"/>
                <w:highlight w:val="none"/>
              </w:rPr>
            </w:pPr>
          </w:p>
          <w:p>
            <w:pPr>
              <w:pStyle w:val="29"/>
              <w:spacing w:before="4"/>
              <w:rPr>
                <w:color w:val="auto"/>
                <w:sz w:val="22"/>
                <w:szCs w:val="22"/>
                <w:highlight w:val="none"/>
              </w:rPr>
            </w:pPr>
          </w:p>
          <w:p>
            <w:pPr>
              <w:bidi w:val="0"/>
              <w:jc w:val="center"/>
              <w:rPr>
                <w:color w:val="auto"/>
                <w:sz w:val="22"/>
                <w:szCs w:val="22"/>
                <w:highlight w:val="none"/>
              </w:rPr>
            </w:pPr>
            <w:r>
              <w:rPr>
                <w:color w:val="auto"/>
                <w:sz w:val="22"/>
                <w:szCs w:val="22"/>
                <w:highlight w:val="none"/>
              </w:rPr>
              <w:t>3</w:t>
            </w:r>
            <w:r>
              <w:rPr>
                <w:rFonts w:hint="eastAsia"/>
                <w:color w:val="auto"/>
                <w:sz w:val="22"/>
                <w:szCs w:val="22"/>
                <w:highlight w:val="none"/>
                <w:lang w:eastAsia="zh-CN"/>
              </w:rPr>
              <w:t>.</w:t>
            </w:r>
            <w:r>
              <w:rPr>
                <w:color w:val="auto"/>
                <w:sz w:val="22"/>
                <w:szCs w:val="22"/>
                <w:highlight w:val="none"/>
              </w:rPr>
              <w:t>7.5</w:t>
            </w:r>
          </w:p>
        </w:tc>
        <w:tc>
          <w:tcPr>
            <w:tcW w:w="1916" w:type="dxa"/>
            <w:vAlign w:val="center"/>
          </w:tcPr>
          <w:p>
            <w:pPr>
              <w:pStyle w:val="29"/>
              <w:rPr>
                <w:color w:val="auto"/>
                <w:sz w:val="22"/>
                <w:szCs w:val="22"/>
                <w:highlight w:val="none"/>
              </w:rPr>
            </w:pPr>
          </w:p>
          <w:p>
            <w:pPr>
              <w:pStyle w:val="29"/>
              <w:rPr>
                <w:color w:val="auto"/>
                <w:sz w:val="22"/>
                <w:szCs w:val="22"/>
                <w:highlight w:val="none"/>
              </w:rPr>
            </w:pPr>
          </w:p>
          <w:p>
            <w:pPr>
              <w:pStyle w:val="29"/>
              <w:rPr>
                <w:color w:val="auto"/>
                <w:sz w:val="22"/>
                <w:szCs w:val="22"/>
                <w:highlight w:val="none"/>
              </w:rPr>
            </w:pPr>
          </w:p>
          <w:p>
            <w:pPr>
              <w:pStyle w:val="29"/>
              <w:spacing w:before="4"/>
              <w:rPr>
                <w:color w:val="auto"/>
                <w:sz w:val="22"/>
                <w:szCs w:val="22"/>
                <w:highlight w:val="none"/>
              </w:rPr>
            </w:pPr>
          </w:p>
          <w:p>
            <w:pPr>
              <w:bidi w:val="0"/>
              <w:jc w:val="center"/>
              <w:rPr>
                <w:color w:val="auto"/>
                <w:sz w:val="22"/>
                <w:szCs w:val="22"/>
                <w:highlight w:val="none"/>
              </w:rPr>
            </w:pPr>
            <w:r>
              <w:rPr>
                <w:color w:val="auto"/>
                <w:sz w:val="22"/>
                <w:szCs w:val="22"/>
                <w:highlight w:val="none"/>
              </w:rPr>
              <w:t>装订要求</w:t>
            </w:r>
          </w:p>
        </w:tc>
        <w:tc>
          <w:tcPr>
            <w:tcW w:w="7063" w:type="dxa"/>
            <w:gridSpan w:val="2"/>
            <w:vAlign w:val="center"/>
          </w:tcPr>
          <w:p>
            <w:pPr>
              <w:pStyle w:val="29"/>
              <w:spacing w:before="44"/>
              <w:ind w:left="106"/>
              <w:rPr>
                <w:color w:val="auto"/>
                <w:sz w:val="22"/>
                <w:szCs w:val="22"/>
                <w:highlight w:val="none"/>
              </w:rPr>
            </w:pPr>
            <w:r>
              <w:rPr>
                <w:color w:val="auto"/>
                <w:sz w:val="22"/>
                <w:szCs w:val="22"/>
                <w:highlight w:val="none"/>
              </w:rPr>
              <w:t>线下投标文件装订要求:</w:t>
            </w:r>
          </w:p>
          <w:p>
            <w:pPr>
              <w:pStyle w:val="29"/>
              <w:spacing w:before="88" w:line="321" w:lineRule="auto"/>
              <w:ind w:left="106" w:right="97"/>
              <w:jc w:val="both"/>
              <w:rPr>
                <w:color w:val="auto"/>
                <w:sz w:val="22"/>
                <w:szCs w:val="22"/>
                <w:highlight w:val="none"/>
              </w:rPr>
            </w:pPr>
            <w:r>
              <w:rPr>
                <w:color w:val="auto"/>
                <w:w w:val="95"/>
                <w:sz w:val="22"/>
                <w:szCs w:val="22"/>
                <w:highlight w:val="none"/>
              </w:rPr>
              <w:t>1</w:t>
            </w:r>
            <w:r>
              <w:rPr>
                <w:color w:val="auto"/>
                <w:spacing w:val="-5"/>
                <w:w w:val="95"/>
                <w:sz w:val="22"/>
                <w:szCs w:val="22"/>
                <w:highlight w:val="none"/>
              </w:rPr>
              <w:t>、</w:t>
            </w:r>
            <w:r>
              <w:rPr>
                <w:color w:val="auto"/>
                <w:sz w:val="22"/>
                <w:szCs w:val="22"/>
                <w:highlight w:val="none"/>
              </w:rPr>
              <w:t>A4白纸，左侧装订，文件装订应牢固，不得使用活页夹。全部书面投标文件分别装订成一册正本，</w:t>
            </w:r>
            <w:r>
              <w:rPr>
                <w:rFonts w:hint="eastAsia"/>
                <w:color w:val="auto"/>
                <w:sz w:val="22"/>
                <w:szCs w:val="22"/>
                <w:highlight w:val="none"/>
                <w:lang w:val="en-US" w:eastAsia="zh-CN"/>
              </w:rPr>
              <w:t>五</w:t>
            </w:r>
            <w:r>
              <w:rPr>
                <w:color w:val="auto"/>
                <w:sz w:val="22"/>
                <w:szCs w:val="22"/>
                <w:highlight w:val="none"/>
              </w:rPr>
              <w:t>册副本(</w:t>
            </w:r>
            <w:r>
              <w:rPr>
                <w:rFonts w:hint="eastAsia"/>
                <w:color w:val="auto"/>
                <w:sz w:val="22"/>
                <w:szCs w:val="22"/>
                <w:highlight w:val="none"/>
                <w:lang w:val="en-US" w:eastAsia="zh-CN"/>
              </w:rPr>
              <w:t>各</w:t>
            </w:r>
            <w:r>
              <w:rPr>
                <w:color w:val="auto"/>
                <w:sz w:val="22"/>
                <w:szCs w:val="22"/>
                <w:highlight w:val="none"/>
              </w:rPr>
              <w:t>部分</w:t>
            </w:r>
            <w:r>
              <w:rPr>
                <w:rFonts w:hint="eastAsia"/>
                <w:color w:val="auto"/>
                <w:sz w:val="22"/>
                <w:szCs w:val="22"/>
                <w:highlight w:val="none"/>
                <w:lang w:val="en-US" w:eastAsia="zh-CN"/>
              </w:rPr>
              <w:t>施工投标文件</w:t>
            </w:r>
            <w:r>
              <w:rPr>
                <w:color w:val="auto"/>
                <w:sz w:val="22"/>
                <w:szCs w:val="22"/>
                <w:highlight w:val="none"/>
              </w:rPr>
              <w:t>一起装订)</w:t>
            </w:r>
            <w:r>
              <w:rPr>
                <w:color w:val="auto"/>
                <w:sz w:val="22"/>
                <w:szCs w:val="22"/>
                <w:highlight w:val="none"/>
              </w:rPr>
              <w:t>；电子投标文件独立包装进袋(外贴封面、盖章)，再与全部书面投标文件密封进同一个包装袋内。</w:t>
            </w:r>
          </w:p>
          <w:p>
            <w:pPr>
              <w:pStyle w:val="29"/>
              <w:spacing w:line="264" w:lineRule="exact"/>
              <w:ind w:left="106"/>
              <w:rPr>
                <w:color w:val="auto"/>
                <w:sz w:val="22"/>
                <w:szCs w:val="22"/>
                <w:highlight w:val="none"/>
              </w:rPr>
            </w:pPr>
            <w:r>
              <w:rPr>
                <w:color w:val="auto"/>
                <w:sz w:val="22"/>
                <w:szCs w:val="22"/>
                <w:highlight w:val="none"/>
              </w:rPr>
              <w:t>2、投标人应将所有的投标文件及其附件密封进一个包装袋(盒、箱)内，不得分散置(拆封前需查验的资料除外)，不得在开标拆封前启封。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4.1.2</w:t>
            </w:r>
          </w:p>
        </w:tc>
        <w:tc>
          <w:tcPr>
            <w:tcW w:w="1916" w:type="dxa"/>
            <w:vAlign w:val="center"/>
          </w:tcPr>
          <w:p>
            <w:pPr>
              <w:pStyle w:val="29"/>
              <w:rPr>
                <w:color w:val="auto"/>
                <w:sz w:val="22"/>
                <w:szCs w:val="22"/>
                <w:highlight w:val="none"/>
              </w:rPr>
            </w:pPr>
          </w:p>
          <w:p>
            <w:pPr>
              <w:pStyle w:val="29"/>
              <w:rPr>
                <w:color w:val="auto"/>
                <w:sz w:val="22"/>
                <w:szCs w:val="22"/>
                <w:highlight w:val="none"/>
              </w:rPr>
            </w:pPr>
          </w:p>
          <w:p>
            <w:pPr>
              <w:pStyle w:val="29"/>
              <w:rPr>
                <w:color w:val="auto"/>
                <w:sz w:val="22"/>
                <w:szCs w:val="22"/>
                <w:highlight w:val="none"/>
              </w:rPr>
            </w:pPr>
          </w:p>
          <w:p>
            <w:pPr>
              <w:pStyle w:val="29"/>
              <w:rPr>
                <w:color w:val="auto"/>
                <w:sz w:val="22"/>
                <w:szCs w:val="22"/>
                <w:highlight w:val="none"/>
              </w:rPr>
            </w:pPr>
          </w:p>
          <w:p>
            <w:pPr>
              <w:pStyle w:val="29"/>
              <w:rPr>
                <w:color w:val="auto"/>
                <w:sz w:val="22"/>
                <w:szCs w:val="22"/>
                <w:highlight w:val="none"/>
              </w:rPr>
            </w:pPr>
          </w:p>
          <w:p>
            <w:pPr>
              <w:pStyle w:val="29"/>
              <w:rPr>
                <w:color w:val="auto"/>
                <w:sz w:val="22"/>
                <w:szCs w:val="22"/>
                <w:highlight w:val="none"/>
              </w:rPr>
            </w:pPr>
          </w:p>
          <w:p>
            <w:pPr>
              <w:pStyle w:val="29"/>
              <w:spacing w:before="8"/>
              <w:rPr>
                <w:color w:val="auto"/>
                <w:sz w:val="22"/>
                <w:szCs w:val="22"/>
                <w:highlight w:val="none"/>
              </w:rPr>
            </w:pPr>
          </w:p>
          <w:p>
            <w:pPr>
              <w:bidi w:val="0"/>
              <w:jc w:val="center"/>
              <w:rPr>
                <w:color w:val="auto"/>
                <w:sz w:val="22"/>
                <w:szCs w:val="22"/>
                <w:highlight w:val="none"/>
              </w:rPr>
            </w:pPr>
            <w:r>
              <w:rPr>
                <w:color w:val="auto"/>
                <w:sz w:val="22"/>
                <w:szCs w:val="22"/>
                <w:highlight w:val="none"/>
              </w:rPr>
              <w:t>封套上写明</w:t>
            </w:r>
          </w:p>
        </w:tc>
        <w:tc>
          <w:tcPr>
            <w:tcW w:w="7063" w:type="dxa"/>
            <w:gridSpan w:val="2"/>
            <w:vAlign w:val="center"/>
          </w:tcPr>
          <w:p>
            <w:pPr>
              <w:pStyle w:val="29"/>
              <w:spacing w:before="111"/>
              <w:ind w:left="109"/>
              <w:rPr>
                <w:color w:val="auto"/>
                <w:sz w:val="22"/>
                <w:szCs w:val="22"/>
                <w:highlight w:val="none"/>
              </w:rPr>
            </w:pPr>
            <w:r>
              <w:rPr>
                <w:color w:val="auto"/>
                <w:sz w:val="22"/>
                <w:szCs w:val="22"/>
                <w:highlight w:val="none"/>
              </w:rPr>
              <w:t>文件包装袋（盒、箱）封面</w:t>
            </w:r>
          </w:p>
          <w:p>
            <w:pPr>
              <w:pStyle w:val="29"/>
              <w:ind w:left="1882"/>
              <w:rPr>
                <w:color w:val="auto"/>
                <w:sz w:val="22"/>
                <w:szCs w:val="22"/>
                <w:highlight w:val="none"/>
              </w:rPr>
            </w:pPr>
          </w:p>
          <w:p>
            <w:pPr>
              <w:pStyle w:val="29"/>
              <w:ind w:left="1882"/>
              <w:rPr>
                <w:color w:val="auto"/>
                <w:sz w:val="22"/>
                <w:szCs w:val="22"/>
                <w:highlight w:val="none"/>
              </w:rPr>
            </w:pPr>
            <w:r>
              <w:rPr>
                <w:color w:val="auto"/>
                <w:sz w:val="22"/>
                <w:szCs w:val="22"/>
                <w:highlight w:val="none"/>
              </w:rPr>
              <w:t>投标文件外封套（标签样式）：</w:t>
            </w:r>
          </w:p>
          <w:p>
            <w:pPr>
              <w:pStyle w:val="29"/>
              <w:spacing w:before="164"/>
              <w:ind w:left="2376" w:right="2339"/>
              <w:jc w:val="center"/>
              <w:rPr>
                <w:b/>
                <w:color w:val="auto"/>
                <w:sz w:val="22"/>
                <w:szCs w:val="22"/>
                <w:highlight w:val="none"/>
              </w:rPr>
            </w:pPr>
            <w:r>
              <w:rPr>
                <w:color w:val="auto"/>
                <w:sz w:val="22"/>
                <w:szCs w:val="22"/>
                <w:highlight w:val="none"/>
              </w:rPr>
              <mc:AlternateContent>
                <mc:Choice Requires="wps">
                  <w:drawing>
                    <wp:anchor distT="0" distB="0" distL="114300" distR="114300" simplePos="0" relativeHeight="251672576" behindDoc="1" locked="0" layoutInCell="1" allowOverlap="1">
                      <wp:simplePos x="0" y="0"/>
                      <wp:positionH relativeFrom="column">
                        <wp:posOffset>172085</wp:posOffset>
                      </wp:positionH>
                      <wp:positionV relativeFrom="paragraph">
                        <wp:posOffset>86995</wp:posOffset>
                      </wp:positionV>
                      <wp:extent cx="4127500" cy="2063750"/>
                      <wp:effectExtent l="5080" t="5080" r="20320" b="7620"/>
                      <wp:wrapNone/>
                      <wp:docPr id="67" name="文本框 67"/>
                      <wp:cNvGraphicFramePr/>
                      <a:graphic xmlns:a="http://schemas.openxmlformats.org/drawingml/2006/main">
                        <a:graphicData uri="http://schemas.microsoft.com/office/word/2010/wordprocessingShape">
                          <wps:wsp>
                            <wps:cNvSpPr txBox="1"/>
                            <wps:spPr>
                              <a:xfrm>
                                <a:off x="2616200" y="5411470"/>
                                <a:ext cx="4127500" cy="2063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5pt;margin-top:6.85pt;height:162.5pt;width:325pt;z-index:-251643904;mso-width-relative:page;mso-height-relative:page;" fillcolor="#FFFFFF [3201]" filled="t" stroked="t" coordsize="21600,21600" o:gfxdata="UEsDBAoAAAAAAIdO4kAAAAAAAAAAAAAAAAAEAAAAZHJzL1BLAwQUAAAACACHTuJAqd1AE9UAAAAJ&#10;AQAADwAAAGRycy9kb3ducmV2LnhtbE2PwU7DMBBE70j8g7VI3KiTWEqqEKcSSEiIGyWX3tx4m0TE&#10;68h2m/L3bE9w3JnR7Jtmd3WzuGCIkycN+SYDgdR7O9Ggoft6e9qCiMmQNbMn1PCDEXbt/V1jautX&#10;+sTLPg2CSyjWRsOY0lJLGfsRnYkbvyCxd/LBmcRnGKQNZuVyN8siy0rpzET8YTQLvo7Yf+/PTsN7&#10;+ZIO2NkPqwrl10724TRHrR8f8uwZRMJr+gvDDZ/RoWWmoz+TjWLWUFQ5J1lXFQj2y+omHDUota1A&#10;to38v6D9BVBLAwQUAAAACACHTuJAQeomCGECAADGBAAADgAAAGRycy9lMm9Eb2MueG1srVTBbhMx&#10;EL0j8Q+W73SzaZpA1E0VWgUhVbRSQZwdrzdr4bWN7WS3fAD9A05cuPNd/Q6evZu2tBx6IAdnxvP0&#10;ZuZ5Zo9PukaRnXBeGl3Q/GBEidDclFJvCvrp4+rVa0p8YLpkymhR0Gvh6cni5Yvj1s7F2NRGlcIR&#10;kGg/b21B6xDsPMs8r0XD/IGxQiNYGdewANdtstKxFuyNysaj0TRrjSutM1x4j9uzPkgHRvccQlNV&#10;koszw7eN0KFndUKxgJZ8La2ni1RtVQkeLqrKi0BUQdFpSCeSwF7HM1scs/nGMVtLPpTAnlPCo54a&#10;JjWS3lGdscDI1sknVI3kznhThQNumqxvJCmCLvLRI22uamZF6gVSe3snuv9/tPzD7tIRWRZ0OqNE&#10;swYvfvvj5vbn79tf3wnuIFBr/Ry4Kwtk6N6aDmOzv/e4jH13lWviPzoiiI+n+RSPTcl1QY8meT6Z&#10;DVKLLhAOwCQfz44igAMxHk0P4UXO7J7KOh/eCdOQaBTU4S2TxGx37kMP3UNiZm+ULFdSqeS4zfpU&#10;ObJjePdV+g3sf8GUJi06P0TuJxSR+45irRj/8pQB1SqNoqNCvRLRCt26G2Rbm/IaqjnTD563fCXB&#10;e858uGQOkwYFsIvhAkelDIoxg0VJbdy3f91HPAYAUUpaTG5B/dctc4IS9V5jNN7kkwloQ3ImR7Mx&#10;HPcwsn4Y0dvm1ECkHFtveTIjPqi9WTnTfMbKLmNWhJjmyF3QsDdPQ79PWHkulssEwnBbFs71leWR&#10;OoqrzXIbTCXT00WZem0G9TDe6fGHVYz789BPqPvPz+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d1AE9UAAAAJAQAADwAAAAAAAAABACAAAAAiAAAAZHJzL2Rvd25yZXYueG1sUEsBAhQAFAAAAAgA&#10;h07iQEHqJghhAgAAxgQAAA4AAAAAAAAAAQAgAAAAJAEAAGRycy9lMm9Eb2MueG1sUEsFBgAAAAAG&#10;AAYAWQEAAPcFAAAAAA==&#10;">
                      <v:fill on="t" focussize="0,0"/>
                      <v:stroke weight="0.5pt" color="#000000 [3204]" joinstyle="round"/>
                      <v:imagedata o:title=""/>
                      <o:lock v:ext="edit" aspectratio="f"/>
                      <v:textbox>
                        <w:txbxContent>
                          <w:p/>
                        </w:txbxContent>
                      </v:textbox>
                    </v:shape>
                  </w:pict>
                </mc:Fallback>
              </mc:AlternateContent>
            </w:r>
            <w:r>
              <w:rPr>
                <w:b/>
                <w:color w:val="auto"/>
                <w:sz w:val="22"/>
                <w:szCs w:val="22"/>
                <w:highlight w:val="none"/>
              </w:rPr>
              <w:t>施工投标文件</w:t>
            </w:r>
          </w:p>
          <w:p>
            <w:pPr>
              <w:pStyle w:val="29"/>
              <w:spacing w:before="22" w:line="278" w:lineRule="auto"/>
              <w:ind w:left="417" w:right="374"/>
              <w:rPr>
                <w:rFonts w:hint="eastAsia"/>
                <w:b/>
                <w:color w:val="auto"/>
                <w:spacing w:val="-17"/>
                <w:sz w:val="22"/>
                <w:szCs w:val="22"/>
                <w:highlight w:val="none"/>
                <w:lang w:eastAsia="zh-CN"/>
              </w:rPr>
            </w:pPr>
            <w:r>
              <w:rPr>
                <w:rFonts w:hint="eastAsia"/>
                <w:b/>
                <w:color w:val="auto"/>
                <w:spacing w:val="-17"/>
                <w:sz w:val="22"/>
                <w:szCs w:val="22"/>
                <w:highlight w:val="none"/>
                <w:lang w:eastAsia="zh-CN"/>
              </w:rPr>
              <w:t>工程名称</w:t>
            </w:r>
            <w:r>
              <w:rPr>
                <w:b/>
                <w:color w:val="auto"/>
                <w:spacing w:val="-17"/>
                <w:sz w:val="22"/>
                <w:szCs w:val="22"/>
                <w:highlight w:val="none"/>
              </w:rPr>
              <w:t>：</w:t>
            </w:r>
            <w:r>
              <w:rPr>
                <w:rFonts w:hint="eastAsia"/>
                <w:b/>
                <w:color w:val="auto"/>
                <w:spacing w:val="-17"/>
                <w:sz w:val="22"/>
                <w:szCs w:val="22"/>
                <w:highlight w:val="none"/>
                <w:lang w:eastAsia="zh-CN"/>
              </w:rPr>
              <w:t>云安区生猪产业园—优质生猪标准化规模养殖基地项目</w:t>
            </w:r>
          </w:p>
          <w:p>
            <w:pPr>
              <w:pStyle w:val="29"/>
              <w:spacing w:before="43" w:line="278" w:lineRule="auto"/>
              <w:ind w:right="504" w:firstLine="374" w:firstLineChars="200"/>
              <w:rPr>
                <w:rFonts w:hint="default"/>
                <w:b/>
                <w:color w:val="auto"/>
                <w:spacing w:val="-17"/>
                <w:sz w:val="22"/>
                <w:szCs w:val="22"/>
                <w:highlight w:val="none"/>
                <w:lang w:val="en-US" w:eastAsia="zh-CN"/>
              </w:rPr>
            </w:pPr>
            <w:r>
              <w:rPr>
                <w:rFonts w:hint="eastAsia"/>
                <w:b/>
                <w:color w:val="auto"/>
                <w:spacing w:val="-17"/>
                <w:sz w:val="22"/>
                <w:szCs w:val="22"/>
                <w:highlight w:val="none"/>
                <w:lang w:val="en-US" w:eastAsia="zh-CN"/>
              </w:rPr>
              <w:t>项目编号</w:t>
            </w:r>
            <w:r>
              <w:rPr>
                <w:rFonts w:hint="eastAsia"/>
                <w:b/>
                <w:color w:val="auto"/>
                <w:spacing w:val="-19"/>
                <w:sz w:val="22"/>
                <w:szCs w:val="22"/>
                <w:highlight w:val="none"/>
                <w:lang w:val="en-US" w:eastAsia="zh-CN"/>
              </w:rPr>
              <w:t>：GDXJ2022GGK3037</w:t>
            </w:r>
          </w:p>
          <w:p>
            <w:pPr>
              <w:pStyle w:val="29"/>
              <w:spacing w:line="269" w:lineRule="exact"/>
              <w:ind w:left="417"/>
              <w:rPr>
                <w:rFonts w:hint="eastAsia" w:eastAsia="宋体"/>
                <w:b/>
                <w:color w:val="auto"/>
                <w:sz w:val="22"/>
                <w:szCs w:val="22"/>
                <w:highlight w:val="none"/>
                <w:lang w:eastAsia="zh-CN"/>
              </w:rPr>
            </w:pPr>
            <w:r>
              <w:rPr>
                <w:b/>
                <w:color w:val="auto"/>
                <w:sz w:val="22"/>
                <w:szCs w:val="22"/>
                <w:highlight w:val="none"/>
              </w:rPr>
              <w:t>招标人：</w:t>
            </w:r>
            <w:r>
              <w:rPr>
                <w:rFonts w:hint="eastAsia"/>
                <w:b/>
                <w:color w:val="auto"/>
                <w:sz w:val="22"/>
                <w:szCs w:val="22"/>
                <w:highlight w:val="none"/>
                <w:lang w:eastAsia="zh-CN"/>
              </w:rPr>
              <w:t>云浮美神养殖有限公司</w:t>
            </w:r>
          </w:p>
          <w:p>
            <w:pPr>
              <w:pStyle w:val="29"/>
              <w:tabs>
                <w:tab w:val="left" w:pos="3360"/>
              </w:tabs>
              <w:spacing w:before="47" w:line="309" w:lineRule="auto"/>
              <w:ind w:left="417" w:right="801"/>
              <w:rPr>
                <w:color w:val="auto"/>
                <w:spacing w:val="-13"/>
                <w:sz w:val="22"/>
                <w:szCs w:val="22"/>
                <w:highlight w:val="none"/>
              </w:rPr>
            </w:pPr>
            <w:r>
              <w:rPr>
                <w:color w:val="auto"/>
                <w:sz w:val="22"/>
                <w:szCs w:val="22"/>
                <w:highlight w:val="none"/>
              </w:rPr>
              <w:t>（</w:t>
            </w:r>
            <w:r>
              <w:rPr>
                <w:color w:val="auto"/>
                <w:spacing w:val="5"/>
                <w:sz w:val="22"/>
                <w:szCs w:val="22"/>
                <w:highlight w:val="none"/>
                <w:u w:val="single"/>
              </w:rPr>
              <w:t xml:space="preserve"> </w:t>
            </w:r>
            <w:r>
              <w:rPr>
                <w:color w:val="auto"/>
                <w:sz w:val="22"/>
                <w:szCs w:val="22"/>
                <w:highlight w:val="none"/>
              </w:rPr>
              <w:t>年</w:t>
            </w:r>
            <w:r>
              <w:rPr>
                <w:color w:val="auto"/>
                <w:spacing w:val="5"/>
                <w:sz w:val="22"/>
                <w:szCs w:val="22"/>
                <w:highlight w:val="none"/>
                <w:u w:val="single"/>
              </w:rPr>
              <w:t xml:space="preserve"> </w:t>
            </w:r>
            <w:r>
              <w:rPr>
                <w:color w:val="auto"/>
                <w:sz w:val="22"/>
                <w:szCs w:val="22"/>
                <w:highlight w:val="none"/>
              </w:rPr>
              <w:t>月</w:t>
            </w:r>
            <w:r>
              <w:rPr>
                <w:color w:val="auto"/>
                <w:sz w:val="22"/>
                <w:szCs w:val="22"/>
                <w:highlight w:val="none"/>
                <w:u w:val="single"/>
              </w:rPr>
              <w:t xml:space="preserve"> </w:t>
            </w:r>
            <w:r>
              <w:rPr>
                <w:color w:val="auto"/>
                <w:spacing w:val="1"/>
                <w:sz w:val="22"/>
                <w:szCs w:val="22"/>
                <w:highlight w:val="none"/>
                <w:u w:val="single"/>
              </w:rPr>
              <w:t xml:space="preserve"> </w:t>
            </w:r>
            <w:r>
              <w:rPr>
                <w:color w:val="auto"/>
                <w:sz w:val="22"/>
                <w:szCs w:val="22"/>
                <w:highlight w:val="none"/>
              </w:rPr>
              <w:t>日上午</w:t>
            </w:r>
            <w:r>
              <w:rPr>
                <w:color w:val="auto"/>
                <w:sz w:val="22"/>
                <w:szCs w:val="22"/>
                <w:highlight w:val="none"/>
                <w:u w:val="single"/>
              </w:rPr>
              <w:t xml:space="preserve"> </w:t>
            </w:r>
            <w:r>
              <w:rPr>
                <w:color w:val="auto"/>
                <w:spacing w:val="2"/>
                <w:sz w:val="22"/>
                <w:szCs w:val="22"/>
                <w:highlight w:val="none"/>
                <w:u w:val="single"/>
              </w:rPr>
              <w:t xml:space="preserve"> </w:t>
            </w:r>
            <w:r>
              <w:rPr>
                <w:color w:val="auto"/>
                <w:sz w:val="22"/>
                <w:szCs w:val="22"/>
                <w:highlight w:val="none"/>
              </w:rPr>
              <w:t>时</w:t>
            </w:r>
            <w:r>
              <w:rPr>
                <w:color w:val="auto"/>
                <w:sz w:val="22"/>
                <w:szCs w:val="22"/>
                <w:highlight w:val="none"/>
                <w:u w:val="single"/>
              </w:rPr>
              <w:t xml:space="preserve"> </w:t>
            </w:r>
            <w:r>
              <w:rPr>
                <w:color w:val="auto"/>
                <w:spacing w:val="5"/>
                <w:sz w:val="22"/>
                <w:szCs w:val="22"/>
                <w:highlight w:val="none"/>
                <w:u w:val="single"/>
              </w:rPr>
              <w:t xml:space="preserve"> </w:t>
            </w:r>
            <w:r>
              <w:rPr>
                <w:color w:val="auto"/>
                <w:spacing w:val="-5"/>
                <w:sz w:val="22"/>
                <w:szCs w:val="22"/>
                <w:highlight w:val="none"/>
              </w:rPr>
              <w:t>分</w:t>
            </w:r>
            <w:r>
              <w:rPr>
                <w:color w:val="auto"/>
                <w:sz w:val="22"/>
                <w:szCs w:val="22"/>
                <w:highlight w:val="none"/>
              </w:rPr>
              <w:t>开标，</w:t>
            </w:r>
            <w:r>
              <w:rPr>
                <w:color w:val="auto"/>
                <w:spacing w:val="-5"/>
                <w:sz w:val="22"/>
                <w:szCs w:val="22"/>
                <w:highlight w:val="none"/>
              </w:rPr>
              <w:t>此</w:t>
            </w:r>
            <w:r>
              <w:rPr>
                <w:color w:val="auto"/>
                <w:sz w:val="22"/>
                <w:szCs w:val="22"/>
                <w:highlight w:val="none"/>
              </w:rPr>
              <w:t>时间以</w:t>
            </w:r>
            <w:r>
              <w:rPr>
                <w:color w:val="auto"/>
                <w:spacing w:val="-5"/>
                <w:sz w:val="22"/>
                <w:szCs w:val="22"/>
                <w:highlight w:val="none"/>
              </w:rPr>
              <w:t>前</w:t>
            </w:r>
            <w:r>
              <w:rPr>
                <w:color w:val="auto"/>
                <w:sz w:val="22"/>
                <w:szCs w:val="22"/>
                <w:highlight w:val="none"/>
              </w:rPr>
              <w:t>不</w:t>
            </w:r>
            <w:r>
              <w:rPr>
                <w:color w:val="auto"/>
                <w:spacing w:val="-5"/>
                <w:sz w:val="22"/>
                <w:szCs w:val="22"/>
                <w:highlight w:val="none"/>
              </w:rPr>
              <w:t>得</w:t>
            </w:r>
            <w:r>
              <w:rPr>
                <w:color w:val="auto"/>
                <w:sz w:val="22"/>
                <w:szCs w:val="22"/>
                <w:highlight w:val="none"/>
              </w:rPr>
              <w:t>开封</w:t>
            </w:r>
            <w:r>
              <w:rPr>
                <w:color w:val="auto"/>
                <w:spacing w:val="-13"/>
                <w:sz w:val="22"/>
                <w:szCs w:val="22"/>
                <w:highlight w:val="none"/>
              </w:rPr>
              <w:t xml:space="preserve">） </w:t>
            </w:r>
          </w:p>
          <w:p>
            <w:pPr>
              <w:pStyle w:val="29"/>
              <w:tabs>
                <w:tab w:val="left" w:pos="3360"/>
              </w:tabs>
              <w:spacing w:before="47" w:line="309" w:lineRule="auto"/>
              <w:ind w:left="417" w:right="801"/>
              <w:rPr>
                <w:color w:val="auto"/>
                <w:sz w:val="22"/>
                <w:szCs w:val="22"/>
                <w:highlight w:val="none"/>
              </w:rPr>
            </w:pPr>
            <w:r>
              <w:rPr>
                <w:color w:val="auto"/>
                <w:sz w:val="22"/>
                <w:szCs w:val="22"/>
                <w:highlight w:val="none"/>
              </w:rPr>
              <w:t>投标人：</w:t>
            </w:r>
            <w:r>
              <w:rPr>
                <w:color w:val="auto"/>
                <w:sz w:val="22"/>
                <w:szCs w:val="22"/>
                <w:highlight w:val="none"/>
                <w:u w:val="single"/>
              </w:rPr>
              <w:tab/>
            </w:r>
            <w:r>
              <w:rPr>
                <w:color w:val="auto"/>
                <w:sz w:val="22"/>
                <w:szCs w:val="22"/>
                <w:highlight w:val="none"/>
              </w:rPr>
              <w:t>（盖</w:t>
            </w:r>
            <w:r>
              <w:rPr>
                <w:color w:val="auto"/>
                <w:spacing w:val="-5"/>
                <w:sz w:val="22"/>
                <w:szCs w:val="22"/>
                <w:highlight w:val="none"/>
              </w:rPr>
              <w:t>章</w:t>
            </w:r>
            <w:r>
              <w:rPr>
                <w:color w:val="auto"/>
                <w:sz w:val="22"/>
                <w:szCs w:val="22"/>
                <w:highlight w:val="none"/>
              </w:rPr>
              <w:t>）</w:t>
            </w:r>
          </w:p>
          <w:p>
            <w:pPr>
              <w:pStyle w:val="29"/>
              <w:tabs>
                <w:tab w:val="left" w:pos="4201"/>
              </w:tabs>
              <w:spacing w:line="233" w:lineRule="exact"/>
              <w:ind w:left="417"/>
              <w:rPr>
                <w:color w:val="auto"/>
                <w:sz w:val="22"/>
                <w:szCs w:val="22"/>
                <w:highlight w:val="none"/>
              </w:rPr>
            </w:pPr>
            <w:r>
              <w:rPr>
                <w:color w:val="auto"/>
                <w:sz w:val="22"/>
                <w:szCs w:val="22"/>
                <w:highlight w:val="none"/>
              </w:rPr>
              <w:t>法定代表</w:t>
            </w:r>
            <w:r>
              <w:rPr>
                <w:color w:val="auto"/>
                <w:spacing w:val="-5"/>
                <w:sz w:val="22"/>
                <w:szCs w:val="22"/>
                <w:highlight w:val="none"/>
              </w:rPr>
              <w:t>人</w:t>
            </w:r>
            <w:r>
              <w:rPr>
                <w:color w:val="auto"/>
                <w:sz w:val="22"/>
                <w:szCs w:val="22"/>
                <w:highlight w:val="none"/>
              </w:rPr>
              <w:t>（或授</w:t>
            </w:r>
            <w:r>
              <w:rPr>
                <w:color w:val="auto"/>
                <w:spacing w:val="-5"/>
                <w:sz w:val="22"/>
                <w:szCs w:val="22"/>
                <w:highlight w:val="none"/>
              </w:rPr>
              <w:t>权</w:t>
            </w:r>
            <w:r>
              <w:rPr>
                <w:color w:val="auto"/>
                <w:sz w:val="22"/>
                <w:szCs w:val="22"/>
                <w:highlight w:val="none"/>
              </w:rPr>
              <w:t>委托人</w:t>
            </w:r>
            <w:r>
              <w:rPr>
                <w:color w:val="auto"/>
                <w:spacing w:val="-3"/>
                <w:sz w:val="22"/>
                <w:szCs w:val="22"/>
                <w:highlight w:val="none"/>
              </w:rPr>
              <w:t>）：</w:t>
            </w:r>
            <w:r>
              <w:rPr>
                <w:color w:val="auto"/>
                <w:spacing w:val="-3"/>
                <w:sz w:val="22"/>
                <w:szCs w:val="22"/>
                <w:highlight w:val="none"/>
                <w:u w:val="single"/>
              </w:rPr>
              <w:tab/>
            </w:r>
            <w:r>
              <w:rPr>
                <w:color w:val="auto"/>
                <w:sz w:val="22"/>
                <w:szCs w:val="22"/>
                <w:highlight w:val="none"/>
              </w:rPr>
              <w:t>（签</w:t>
            </w:r>
            <w:r>
              <w:rPr>
                <w:color w:val="auto"/>
                <w:spacing w:val="-5"/>
                <w:sz w:val="22"/>
                <w:szCs w:val="22"/>
                <w:highlight w:val="none"/>
              </w:rPr>
              <w:t>字</w:t>
            </w:r>
            <w:r>
              <w:rPr>
                <w:color w:val="auto"/>
                <w:sz w:val="22"/>
                <w:szCs w:val="22"/>
                <w:highlight w:val="none"/>
              </w:rPr>
              <w:t>或</w:t>
            </w:r>
            <w:r>
              <w:rPr>
                <w:color w:val="auto"/>
                <w:spacing w:val="-5"/>
                <w:sz w:val="22"/>
                <w:szCs w:val="22"/>
                <w:highlight w:val="none"/>
              </w:rPr>
              <w:t>盖</w:t>
            </w:r>
            <w:r>
              <w:rPr>
                <w:color w:val="auto"/>
                <w:sz w:val="22"/>
                <w:szCs w:val="22"/>
                <w:highlight w:val="none"/>
              </w:rPr>
              <w:t>章）</w:t>
            </w:r>
          </w:p>
          <w:p>
            <w:pPr>
              <w:pStyle w:val="29"/>
              <w:tabs>
                <w:tab w:val="left" w:pos="2986"/>
                <w:tab w:val="left" w:pos="5925"/>
              </w:tabs>
              <w:spacing w:before="43" w:line="278" w:lineRule="auto"/>
              <w:ind w:left="417" w:right="756"/>
              <w:rPr>
                <w:rFonts w:ascii="Times New Roman" w:eastAsia="Times New Roman"/>
                <w:color w:val="auto"/>
                <w:sz w:val="22"/>
                <w:szCs w:val="22"/>
                <w:highlight w:val="none"/>
              </w:rPr>
            </w:pPr>
            <w:r>
              <w:rPr>
                <w:color w:val="auto"/>
                <w:sz w:val="22"/>
                <w:szCs w:val="22"/>
                <w:highlight w:val="none"/>
              </w:rPr>
              <w:t>通讯地址：</w:t>
            </w:r>
            <w:r>
              <w:rPr>
                <w:color w:val="auto"/>
                <w:sz w:val="22"/>
                <w:szCs w:val="22"/>
                <w:highlight w:val="none"/>
                <w:u w:val="single"/>
              </w:rPr>
              <w:tab/>
            </w:r>
            <w:r>
              <w:rPr>
                <w:color w:val="auto"/>
                <w:sz w:val="22"/>
                <w:szCs w:val="22"/>
                <w:highlight w:val="none"/>
                <w:u w:val="single"/>
              </w:rPr>
              <w:tab/>
            </w:r>
            <w:r>
              <w:rPr>
                <w:color w:val="auto"/>
                <w:sz w:val="22"/>
                <w:szCs w:val="22"/>
                <w:highlight w:val="none"/>
                <w:u w:val="single"/>
              </w:rPr>
              <w:t xml:space="preserve">                                         </w:t>
            </w:r>
            <w:r>
              <w:rPr>
                <w:color w:val="auto"/>
                <w:sz w:val="22"/>
                <w:szCs w:val="22"/>
                <w:highlight w:val="none"/>
              </w:rPr>
              <w:t>邮政编码：</w:t>
            </w:r>
            <w:r>
              <w:rPr>
                <w:rFonts w:ascii="Times New Roman" w:eastAsia="Times New Roman"/>
                <w:color w:val="auto"/>
                <w:sz w:val="22"/>
                <w:szCs w:val="22"/>
                <w:highlight w:val="none"/>
                <w:u w:val="single"/>
              </w:rPr>
              <w:t xml:space="preserve"> </w:t>
            </w:r>
            <w:r>
              <w:rPr>
                <w:rFonts w:ascii="Times New Roman" w:eastAsia="Times New Roman"/>
                <w:color w:val="auto"/>
                <w:sz w:val="22"/>
                <w:szCs w:val="22"/>
                <w:highlight w:val="none"/>
                <w:u w:val="single"/>
              </w:rPr>
              <w:tab/>
            </w:r>
          </w:p>
          <w:p>
            <w:pPr>
              <w:pStyle w:val="29"/>
              <w:rPr>
                <w:rFonts w:ascii="Times New Roman"/>
                <w:color w:val="auto"/>
                <w:sz w:val="22"/>
                <w:szCs w:val="22"/>
                <w:highlight w:val="none"/>
              </w:rPr>
            </w:pPr>
          </w:p>
          <w:p>
            <w:pPr>
              <w:pStyle w:val="29"/>
              <w:spacing w:before="3"/>
              <w:rPr>
                <w:rFonts w:ascii="Times New Roman"/>
                <w:color w:val="auto"/>
                <w:sz w:val="22"/>
                <w:szCs w:val="22"/>
                <w:highlight w:val="none"/>
              </w:rPr>
            </w:pPr>
          </w:p>
          <w:p>
            <w:pPr>
              <w:pStyle w:val="29"/>
              <w:spacing w:line="267" w:lineRule="exact"/>
              <w:ind w:left="109" w:leftChars="0" w:right="0" w:rightChars="0"/>
              <w:rPr>
                <w:rFonts w:ascii="宋体" w:hAnsi="宋体" w:eastAsia="宋体" w:cs="宋体"/>
                <w:color w:val="auto"/>
                <w:sz w:val="22"/>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pStyle w:val="29"/>
              <w:rPr>
                <w:color w:val="auto"/>
                <w:sz w:val="22"/>
                <w:szCs w:val="22"/>
                <w:highlight w:val="none"/>
              </w:rPr>
            </w:pPr>
          </w:p>
          <w:p>
            <w:pPr>
              <w:pStyle w:val="29"/>
              <w:spacing w:before="3"/>
              <w:rPr>
                <w:color w:val="auto"/>
                <w:sz w:val="22"/>
                <w:szCs w:val="22"/>
                <w:highlight w:val="none"/>
              </w:rPr>
            </w:pPr>
          </w:p>
          <w:p>
            <w:pPr>
              <w:bidi w:val="0"/>
              <w:jc w:val="center"/>
              <w:rPr>
                <w:color w:val="auto"/>
                <w:sz w:val="22"/>
                <w:szCs w:val="22"/>
                <w:highlight w:val="none"/>
              </w:rPr>
            </w:pPr>
            <w:r>
              <w:rPr>
                <w:rFonts w:hint="eastAsia"/>
                <w:color w:val="auto"/>
                <w:sz w:val="22"/>
                <w:szCs w:val="22"/>
                <w:highlight w:val="none"/>
                <w:lang w:val="en-US" w:eastAsia="zh-CN"/>
              </w:rPr>
              <w:t>4</w:t>
            </w:r>
            <w:r>
              <w:rPr>
                <w:color w:val="auto"/>
                <w:sz w:val="22"/>
                <w:szCs w:val="22"/>
                <w:highlight w:val="none"/>
              </w:rPr>
              <w:t>.2.2</w:t>
            </w:r>
          </w:p>
        </w:tc>
        <w:tc>
          <w:tcPr>
            <w:tcW w:w="1916" w:type="dxa"/>
            <w:vAlign w:val="center"/>
          </w:tcPr>
          <w:p>
            <w:pPr>
              <w:bidi w:val="0"/>
              <w:jc w:val="center"/>
              <w:rPr>
                <w:color w:val="auto"/>
                <w:sz w:val="22"/>
                <w:szCs w:val="22"/>
                <w:highlight w:val="none"/>
              </w:rPr>
            </w:pPr>
          </w:p>
          <w:p>
            <w:pPr>
              <w:bidi w:val="0"/>
              <w:jc w:val="center"/>
              <w:rPr>
                <w:color w:val="auto"/>
                <w:sz w:val="22"/>
                <w:szCs w:val="22"/>
                <w:highlight w:val="none"/>
              </w:rPr>
            </w:pPr>
          </w:p>
          <w:p>
            <w:pPr>
              <w:bidi w:val="0"/>
              <w:jc w:val="center"/>
              <w:rPr>
                <w:color w:val="auto"/>
                <w:sz w:val="22"/>
                <w:szCs w:val="22"/>
                <w:highlight w:val="none"/>
              </w:rPr>
            </w:pPr>
            <w:r>
              <w:rPr>
                <w:color w:val="auto"/>
                <w:sz w:val="22"/>
                <w:szCs w:val="22"/>
                <w:highlight w:val="none"/>
              </w:rPr>
              <w:t>递交投标文件地点</w:t>
            </w:r>
          </w:p>
        </w:tc>
        <w:tc>
          <w:tcPr>
            <w:tcW w:w="7063" w:type="dxa"/>
            <w:gridSpan w:val="2"/>
            <w:vAlign w:val="center"/>
          </w:tcPr>
          <w:p>
            <w:pPr>
              <w:pStyle w:val="29"/>
              <w:numPr>
                <w:ilvl w:val="0"/>
                <w:numId w:val="7"/>
              </w:numPr>
              <w:tabs>
                <w:tab w:val="left" w:pos="318"/>
              </w:tabs>
              <w:spacing w:before="42" w:after="0" w:line="319" w:lineRule="auto"/>
              <w:ind w:left="106" w:right="-15" w:firstLine="0"/>
              <w:jc w:val="left"/>
              <w:rPr>
                <w:color w:val="auto"/>
                <w:sz w:val="22"/>
                <w:szCs w:val="22"/>
                <w:highlight w:val="none"/>
              </w:rPr>
            </w:pPr>
            <w:r>
              <w:rPr>
                <w:color w:val="auto"/>
                <w:sz w:val="22"/>
                <w:szCs w:val="22"/>
                <w:highlight w:val="none"/>
              </w:rPr>
              <w:t>投标文件递交地点：</w:t>
            </w:r>
            <w:r>
              <w:rPr>
                <w:rFonts w:hint="eastAsia"/>
                <w:b/>
                <w:bCs/>
                <w:color w:val="auto"/>
                <w:sz w:val="22"/>
                <w:szCs w:val="22"/>
                <w:highlight w:val="none"/>
                <w:u w:val="single"/>
                <w:lang w:eastAsia="zh-CN"/>
              </w:rPr>
              <w:t>广东晓君项目管理有限公司</w:t>
            </w:r>
            <w:r>
              <w:rPr>
                <w:b/>
                <w:bCs/>
                <w:color w:val="auto"/>
                <w:sz w:val="22"/>
                <w:szCs w:val="22"/>
                <w:highlight w:val="none"/>
                <w:u w:val="single"/>
              </w:rPr>
              <w:t>（地址：</w:t>
            </w:r>
            <w:r>
              <w:rPr>
                <w:rFonts w:hint="eastAsia"/>
                <w:b/>
                <w:bCs/>
                <w:color w:val="auto"/>
                <w:sz w:val="22"/>
                <w:szCs w:val="22"/>
                <w:highlight w:val="none"/>
                <w:u w:val="single"/>
                <w:lang w:eastAsia="zh-CN"/>
              </w:rPr>
              <w:t>云浮市云城区城中路 110 号三楼</w:t>
            </w:r>
            <w:r>
              <w:rPr>
                <w:b/>
                <w:bCs/>
                <w:color w:val="auto"/>
                <w:sz w:val="22"/>
                <w:szCs w:val="22"/>
                <w:highlight w:val="none"/>
                <w:u w:val="single"/>
              </w:rPr>
              <w:t>）</w:t>
            </w:r>
            <w:r>
              <w:rPr>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pStyle w:val="29"/>
              <w:spacing w:before="4"/>
              <w:rPr>
                <w:color w:val="auto"/>
                <w:sz w:val="22"/>
                <w:szCs w:val="22"/>
                <w:highlight w:val="none"/>
              </w:rPr>
            </w:pPr>
          </w:p>
          <w:p>
            <w:pPr>
              <w:bidi w:val="0"/>
              <w:jc w:val="center"/>
              <w:rPr>
                <w:color w:val="auto"/>
                <w:sz w:val="22"/>
                <w:szCs w:val="22"/>
                <w:highlight w:val="none"/>
              </w:rPr>
            </w:pPr>
            <w:r>
              <w:rPr>
                <w:color w:val="auto"/>
                <w:sz w:val="22"/>
                <w:szCs w:val="22"/>
                <w:highlight w:val="none"/>
              </w:rPr>
              <w:t>4.2.3</w:t>
            </w:r>
          </w:p>
        </w:tc>
        <w:tc>
          <w:tcPr>
            <w:tcW w:w="1916" w:type="dxa"/>
            <w:vAlign w:val="center"/>
          </w:tcPr>
          <w:p>
            <w:pPr>
              <w:bidi w:val="0"/>
              <w:jc w:val="center"/>
              <w:rPr>
                <w:color w:val="auto"/>
                <w:sz w:val="22"/>
                <w:szCs w:val="22"/>
                <w:highlight w:val="none"/>
              </w:rPr>
            </w:pPr>
            <w:r>
              <w:rPr>
                <w:color w:val="auto"/>
                <w:sz w:val="22"/>
                <w:szCs w:val="22"/>
                <w:highlight w:val="none"/>
              </w:rPr>
              <w:t>是否退还投标文件</w:t>
            </w:r>
          </w:p>
        </w:tc>
        <w:tc>
          <w:tcPr>
            <w:tcW w:w="7063" w:type="dxa"/>
            <w:gridSpan w:val="2"/>
            <w:vAlign w:val="center"/>
          </w:tcPr>
          <w:p>
            <w:pPr>
              <w:bidi w:val="0"/>
              <w:rPr>
                <w:color w:val="auto"/>
                <w:sz w:val="22"/>
                <w:szCs w:val="22"/>
                <w:highlight w:val="none"/>
              </w:rPr>
            </w:pPr>
            <w:r>
              <w:rPr>
                <w:color w:val="auto"/>
                <w:sz w:val="22"/>
                <w:szCs w:val="22"/>
                <w:highlight w:val="none"/>
              </w:rPr>
              <w:sym w:font="Wingdings" w:char="00FE"/>
            </w:r>
            <w:r>
              <w:rPr>
                <w:color w:val="auto"/>
                <w:sz w:val="22"/>
                <w:szCs w:val="22"/>
                <w:highlight w:val="none"/>
              </w:rPr>
              <w:t>否</w:t>
            </w:r>
          </w:p>
          <w:p>
            <w:pPr>
              <w:bidi w:val="0"/>
              <w:rPr>
                <w:color w:val="auto"/>
                <w:sz w:val="22"/>
                <w:szCs w:val="22"/>
                <w:highlight w:val="none"/>
              </w:rPr>
            </w:pPr>
            <w:r>
              <w:rPr>
                <w:color w:val="auto"/>
                <w:sz w:val="22"/>
                <w:szCs w:val="22"/>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5.1</w:t>
            </w:r>
          </w:p>
        </w:tc>
        <w:tc>
          <w:tcPr>
            <w:tcW w:w="1916" w:type="dxa"/>
            <w:vAlign w:val="center"/>
          </w:tcPr>
          <w:p>
            <w:pPr>
              <w:bidi w:val="0"/>
              <w:jc w:val="center"/>
              <w:rPr>
                <w:color w:val="auto"/>
                <w:sz w:val="22"/>
                <w:szCs w:val="22"/>
                <w:highlight w:val="none"/>
              </w:rPr>
            </w:pPr>
            <w:r>
              <w:rPr>
                <w:color w:val="auto"/>
                <w:sz w:val="22"/>
                <w:szCs w:val="22"/>
                <w:highlight w:val="none"/>
              </w:rPr>
              <w:t>开标时间和地点</w:t>
            </w:r>
          </w:p>
        </w:tc>
        <w:tc>
          <w:tcPr>
            <w:tcW w:w="7063" w:type="dxa"/>
            <w:gridSpan w:val="2"/>
            <w:vAlign w:val="center"/>
          </w:tcPr>
          <w:p>
            <w:pPr>
              <w:pStyle w:val="29"/>
              <w:spacing w:before="45"/>
              <w:ind w:left="106"/>
              <w:rPr>
                <w:color w:val="auto"/>
                <w:sz w:val="22"/>
                <w:szCs w:val="22"/>
                <w:highlight w:val="none"/>
              </w:rPr>
            </w:pPr>
            <w:r>
              <w:rPr>
                <w:color w:val="auto"/>
                <w:sz w:val="22"/>
                <w:szCs w:val="22"/>
                <w:highlight w:val="none"/>
              </w:rPr>
              <w:t>开标时间：同投标截止时间</w:t>
            </w:r>
          </w:p>
          <w:p>
            <w:pPr>
              <w:pStyle w:val="29"/>
              <w:spacing w:before="7" w:line="350" w:lineRule="atLeast"/>
              <w:ind w:left="106" w:right="176"/>
              <w:rPr>
                <w:color w:val="auto"/>
                <w:sz w:val="22"/>
                <w:szCs w:val="22"/>
                <w:highlight w:val="none"/>
              </w:rPr>
            </w:pPr>
            <w:r>
              <w:rPr>
                <w:color w:val="auto"/>
                <w:sz w:val="22"/>
                <w:szCs w:val="22"/>
                <w:highlight w:val="none"/>
              </w:rPr>
              <w:t>开标地点：</w:t>
            </w:r>
            <w:r>
              <w:rPr>
                <w:rFonts w:hint="eastAsia"/>
                <w:b/>
                <w:bCs/>
                <w:color w:val="auto"/>
                <w:sz w:val="22"/>
                <w:szCs w:val="22"/>
                <w:highlight w:val="none"/>
                <w:u w:val="single"/>
                <w:lang w:eastAsia="zh-CN"/>
              </w:rPr>
              <w:t>广东晓君项目管理有限公司</w:t>
            </w:r>
            <w:r>
              <w:rPr>
                <w:b/>
                <w:bCs/>
                <w:color w:val="auto"/>
                <w:sz w:val="22"/>
                <w:szCs w:val="22"/>
                <w:highlight w:val="none"/>
                <w:u w:val="single"/>
              </w:rPr>
              <w:t>（地址：</w:t>
            </w:r>
            <w:r>
              <w:rPr>
                <w:rFonts w:hint="eastAsia"/>
                <w:b/>
                <w:bCs/>
                <w:color w:val="auto"/>
                <w:sz w:val="22"/>
                <w:szCs w:val="22"/>
                <w:highlight w:val="none"/>
                <w:u w:val="single"/>
                <w:lang w:eastAsia="zh-CN"/>
              </w:rPr>
              <w:t>云浮市云城区城中路 110 号三楼</w:t>
            </w:r>
            <w:r>
              <w:rPr>
                <w:b/>
                <w:bCs/>
                <w:color w:val="auto"/>
                <w:sz w:val="22"/>
                <w:szCs w:val="22"/>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5.2</w:t>
            </w:r>
          </w:p>
        </w:tc>
        <w:tc>
          <w:tcPr>
            <w:tcW w:w="1916" w:type="dxa"/>
            <w:vAlign w:val="center"/>
          </w:tcPr>
          <w:p>
            <w:pPr>
              <w:bidi w:val="0"/>
              <w:jc w:val="center"/>
              <w:rPr>
                <w:color w:val="auto"/>
                <w:sz w:val="22"/>
                <w:szCs w:val="22"/>
                <w:highlight w:val="none"/>
              </w:rPr>
            </w:pPr>
            <w:r>
              <w:rPr>
                <w:color w:val="auto"/>
                <w:sz w:val="22"/>
                <w:szCs w:val="22"/>
                <w:highlight w:val="none"/>
              </w:rPr>
              <w:t>开标程序</w:t>
            </w:r>
          </w:p>
        </w:tc>
        <w:tc>
          <w:tcPr>
            <w:tcW w:w="7063" w:type="dxa"/>
            <w:gridSpan w:val="2"/>
            <w:vAlign w:val="center"/>
          </w:tcPr>
          <w:p>
            <w:pPr>
              <w:pStyle w:val="29"/>
              <w:spacing w:before="42"/>
              <w:ind w:left="106"/>
              <w:jc w:val="left"/>
              <w:rPr>
                <w:color w:val="auto"/>
                <w:sz w:val="22"/>
                <w:szCs w:val="22"/>
                <w:highlight w:val="none"/>
              </w:rPr>
            </w:pPr>
            <w:r>
              <w:rPr>
                <w:color w:val="auto"/>
                <w:sz w:val="22"/>
                <w:szCs w:val="22"/>
                <w:highlight w:val="none"/>
              </w:rPr>
              <w:t>开标顺序：</w:t>
            </w:r>
          </w:p>
          <w:p>
            <w:pPr>
              <w:pStyle w:val="29"/>
              <w:spacing w:before="89" w:line="321" w:lineRule="auto"/>
              <w:ind w:left="106" w:right="-15" w:firstLine="440" w:firstLineChars="200"/>
              <w:jc w:val="left"/>
              <w:rPr>
                <w:color w:val="auto"/>
                <w:sz w:val="22"/>
                <w:szCs w:val="22"/>
                <w:highlight w:val="none"/>
              </w:rPr>
            </w:pPr>
            <w:r>
              <w:rPr>
                <w:color w:val="auto"/>
                <w:sz w:val="22"/>
                <w:szCs w:val="22"/>
                <w:highlight w:val="none"/>
              </w:rPr>
              <w:t>1</w:t>
            </w:r>
            <w:r>
              <w:rPr>
                <w:rFonts w:hint="eastAsia"/>
                <w:color w:val="auto"/>
                <w:sz w:val="22"/>
                <w:szCs w:val="22"/>
                <w:highlight w:val="none"/>
                <w:lang w:val="en-US" w:eastAsia="zh-CN"/>
              </w:rPr>
              <w:t>.</w:t>
            </w:r>
            <w:r>
              <w:rPr>
                <w:color w:val="auto"/>
                <w:sz w:val="22"/>
                <w:szCs w:val="22"/>
                <w:highlight w:val="none"/>
              </w:rPr>
              <w:t>开标由招标人(或其委托的招标代理机构)主持，邀请所有投标人参加。参加开标员应签到以证明其出席开标会。</w:t>
            </w:r>
          </w:p>
          <w:p>
            <w:pPr>
              <w:pStyle w:val="29"/>
              <w:spacing w:before="43" w:line="319" w:lineRule="auto"/>
              <w:ind w:left="106" w:right="176" w:firstLine="418" w:firstLineChars="200"/>
              <w:jc w:val="left"/>
              <w:rPr>
                <w:rFonts w:ascii="宋体" w:hAnsi="宋体" w:eastAsia="宋体" w:cs="宋体"/>
                <w:color w:val="auto"/>
                <w:sz w:val="22"/>
                <w:szCs w:val="22"/>
                <w:highlight w:val="none"/>
              </w:rPr>
            </w:pPr>
            <w:r>
              <w:rPr>
                <w:color w:val="auto"/>
                <w:w w:val="95"/>
                <w:sz w:val="22"/>
                <w:szCs w:val="22"/>
                <w:highlight w:val="none"/>
              </w:rPr>
              <w:t>2</w:t>
            </w:r>
            <w:r>
              <w:rPr>
                <w:rFonts w:hint="eastAsia"/>
                <w:color w:val="auto"/>
                <w:w w:val="95"/>
                <w:sz w:val="22"/>
                <w:szCs w:val="22"/>
                <w:highlight w:val="none"/>
                <w:lang w:val="en-US" w:eastAsia="zh-CN"/>
              </w:rPr>
              <w:t>.</w:t>
            </w:r>
            <w:r>
              <w:rPr>
                <w:color w:val="auto"/>
                <w:sz w:val="22"/>
                <w:szCs w:val="22"/>
                <w:highlight w:val="none"/>
              </w:rPr>
              <w:t>招标代理机构按招标文件时间规定，宣布投标截止,停止接收投文件。招标代理机构工作人员封闭开标现场，除工作人员外，各投标人代表等人员只出不入。所有参加开标人员通讯工具均交由招标代理机构代管，开标结束后领回。确需打电话的应经招标代理机构批准，且指定录音电话打出。招标人代表、招标代理机构组织开标人员，各投标单位法定代表人或投标经办人留在开标现场，其他人员离开开标现场。</w:t>
            </w:r>
            <w:r>
              <w:rPr>
                <w:rFonts w:ascii="宋体" w:hAnsi="宋体" w:eastAsia="宋体" w:cs="宋体"/>
                <w:color w:val="auto"/>
                <w:sz w:val="22"/>
                <w:szCs w:val="22"/>
                <w:highlight w:val="none"/>
              </w:rPr>
              <w:t>确需参加开标的人员应在开标前经招标代理机构批准。</w:t>
            </w:r>
          </w:p>
          <w:p>
            <w:pPr>
              <w:pStyle w:val="29"/>
              <w:spacing w:before="6" w:line="319" w:lineRule="auto"/>
              <w:ind w:left="106" w:right="99" w:firstLine="418" w:firstLineChars="200"/>
              <w:jc w:val="left"/>
              <w:rPr>
                <w:color w:val="auto"/>
                <w:sz w:val="22"/>
                <w:szCs w:val="22"/>
                <w:highlight w:val="none"/>
              </w:rPr>
            </w:pPr>
            <w:r>
              <w:rPr>
                <w:color w:val="auto"/>
                <w:w w:val="95"/>
                <w:sz w:val="22"/>
                <w:szCs w:val="22"/>
                <w:highlight w:val="none"/>
              </w:rPr>
              <w:t>3</w:t>
            </w:r>
            <w:r>
              <w:rPr>
                <w:rFonts w:hint="eastAsia"/>
                <w:color w:val="auto"/>
                <w:w w:val="95"/>
                <w:sz w:val="22"/>
                <w:szCs w:val="22"/>
                <w:highlight w:val="none"/>
                <w:lang w:val="en-US" w:eastAsia="zh-CN"/>
              </w:rPr>
              <w:t>.</w:t>
            </w:r>
            <w:r>
              <w:rPr>
                <w:color w:val="auto"/>
                <w:sz w:val="22"/>
                <w:szCs w:val="22"/>
                <w:highlight w:val="none"/>
              </w:rPr>
              <w:t>当众宣读投标截止时间前递交投标文件与参加开标的单位、人员名单(按签表)。</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4</w:t>
            </w:r>
            <w:r>
              <w:rPr>
                <w:rFonts w:hint="eastAsia" w:cs="宋体"/>
                <w:color w:val="000000"/>
                <w:sz w:val="22"/>
                <w:szCs w:val="22"/>
                <w:lang w:val="en-US" w:eastAsia="zh-CN"/>
              </w:rPr>
              <w:t>.</w:t>
            </w:r>
            <w:r>
              <w:rPr>
                <w:rFonts w:hint="eastAsia" w:ascii="宋体" w:hAnsi="宋体" w:cs="宋体"/>
                <w:color w:val="000000"/>
                <w:sz w:val="22"/>
                <w:szCs w:val="22"/>
              </w:rPr>
              <w:t>本次招标实行资格后审，开标后，由招标</w:t>
            </w:r>
            <w:r>
              <w:rPr>
                <w:rFonts w:hint="eastAsia" w:cs="宋体"/>
                <w:color w:val="000000"/>
                <w:sz w:val="22"/>
                <w:szCs w:val="22"/>
                <w:lang w:val="en-US" w:eastAsia="zh-CN"/>
              </w:rPr>
              <w:t>代理机构</w:t>
            </w:r>
            <w:r>
              <w:rPr>
                <w:rFonts w:hint="eastAsia" w:ascii="宋体" w:hAnsi="宋体" w:cs="宋体"/>
                <w:color w:val="000000"/>
                <w:sz w:val="22"/>
                <w:szCs w:val="22"/>
              </w:rPr>
              <w:t xml:space="preserve">依法组建的评标委员会对各投标单位进行资格审查。 </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投标人开标时必须提交：由法定代表人投标的，需提供法定代表人证明书及其身份证；如由授权代表人投标的，需提供法定代表人证明书,授权委托书，授权代表人身份证（纸质版资料均为原件的，只须提供到场开标人员的身份证原件）； </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5</w:t>
            </w:r>
            <w:r>
              <w:rPr>
                <w:rFonts w:hint="eastAsia" w:cs="宋体"/>
                <w:color w:val="000000"/>
                <w:sz w:val="22"/>
                <w:szCs w:val="22"/>
                <w:lang w:val="en-US" w:eastAsia="zh-CN"/>
              </w:rPr>
              <w:t>.参照</w:t>
            </w:r>
            <w:r>
              <w:rPr>
                <w:rFonts w:hint="eastAsia" w:ascii="宋体" w:hAnsi="宋体" w:cs="宋体"/>
                <w:color w:val="000000"/>
                <w:sz w:val="22"/>
                <w:szCs w:val="22"/>
              </w:rPr>
              <w:t xml:space="preserve">国家发改委《关于深化公共资源交易平台整合共享的指导意见》（国办函[2019]41号）、云浮市公共资源交易中心发布《关于取消核验投标人资格审查证件及证明资料原件的通告》的有关规定，本次招标开标过程中，由招标人和招标代理共同当众查验投标人必须提交的以下资料：由法定代表人投标的，需提供法定代表人证明书及其身份证；如由授权代表人投标的，需提供法定代表人证明书，授权委托书，授权代表人身份证（纸质版资料均为原件，且只需提供到场开标人员的身份证原件）符合性审查 。 </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6</w:t>
            </w:r>
            <w:r>
              <w:rPr>
                <w:rFonts w:hint="eastAsia" w:cs="宋体"/>
                <w:color w:val="000000"/>
                <w:sz w:val="22"/>
                <w:szCs w:val="22"/>
                <w:lang w:val="en-US" w:eastAsia="zh-CN"/>
              </w:rPr>
              <w:t>.</w:t>
            </w:r>
            <w:r>
              <w:rPr>
                <w:rFonts w:hint="eastAsia" w:ascii="宋体" w:hAnsi="宋体" w:cs="宋体"/>
                <w:color w:val="000000"/>
                <w:sz w:val="22"/>
                <w:szCs w:val="22"/>
              </w:rPr>
              <w:t>对投标文件作符合性检查及开标：由招标人、招标代理以及投标人代表共同检查：各投标文件的投标担保是否到账或检查银行投标保函（或保证保险）原件及投标文件的密封、标记等情况对符合要求的投标文件，确认无误后当众依次开启。</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由招标代理机构及招标人对投标文件的正副本份数、投标保证金递交情况、投标报价及其它内容进行符合性检查；对符合性检查合格的投标文件，当众宣读投标人投标文件正本报价以及招标人认为必要的其它内容；对符合性检查不及格的投标文件，招标人据实记录，并交评标委员会处理。 </w:t>
            </w:r>
          </w:p>
          <w:p>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7</w:t>
            </w:r>
            <w:r>
              <w:rPr>
                <w:rFonts w:hint="eastAsia" w:cs="宋体"/>
                <w:color w:val="000000"/>
                <w:sz w:val="22"/>
                <w:szCs w:val="22"/>
                <w:lang w:val="en-US" w:eastAsia="zh-CN"/>
              </w:rPr>
              <w:t>.</w:t>
            </w:r>
            <w:r>
              <w:rPr>
                <w:rFonts w:hint="eastAsia" w:ascii="宋体" w:hAnsi="宋体" w:cs="宋体"/>
                <w:color w:val="000000"/>
                <w:sz w:val="22"/>
                <w:szCs w:val="22"/>
              </w:rPr>
              <w:t>投标文件送达评标室，招标人或招标代理介绍本工程的基本情况</w:t>
            </w:r>
            <w:r>
              <w:rPr>
                <w:rFonts w:hint="eastAsia" w:cs="宋体"/>
                <w:color w:val="000000"/>
                <w:sz w:val="22"/>
                <w:szCs w:val="22"/>
                <w:lang w:eastAsia="zh-CN"/>
              </w:rPr>
              <w:t>。</w:t>
            </w:r>
            <w:r>
              <w:rPr>
                <w:rFonts w:hint="eastAsia" w:ascii="宋体" w:hAnsi="宋体" w:cs="宋体"/>
                <w:color w:val="000000"/>
                <w:sz w:val="22"/>
                <w:szCs w:val="22"/>
              </w:rPr>
              <w:t xml:space="preserve">由评标委员会根据招标文件和有关招投标的法规对各投标人的符合开标程序检查的投标书进行封闭评审。 </w:t>
            </w:r>
          </w:p>
          <w:p>
            <w:pPr>
              <w:spacing w:line="360" w:lineRule="auto"/>
              <w:ind w:firstLine="440" w:firstLineChars="200"/>
              <w:rPr>
                <w:color w:val="auto"/>
                <w:sz w:val="22"/>
                <w:szCs w:val="22"/>
                <w:highlight w:val="none"/>
              </w:rPr>
            </w:pPr>
            <w:r>
              <w:rPr>
                <w:rFonts w:hint="eastAsia" w:ascii="宋体" w:hAnsi="宋体" w:cs="宋体"/>
                <w:color w:val="000000"/>
                <w:sz w:val="22"/>
                <w:szCs w:val="22"/>
              </w:rPr>
              <w:t>8</w:t>
            </w:r>
            <w:r>
              <w:rPr>
                <w:rFonts w:hint="eastAsia" w:cs="宋体"/>
                <w:color w:val="000000"/>
                <w:sz w:val="22"/>
                <w:szCs w:val="22"/>
                <w:lang w:val="en-US" w:eastAsia="zh-CN"/>
              </w:rPr>
              <w:t>.</w:t>
            </w:r>
            <w:r>
              <w:rPr>
                <w:rFonts w:hint="eastAsia" w:ascii="宋体" w:hAnsi="宋体" w:cs="宋体"/>
                <w:color w:val="000000"/>
                <w:sz w:val="22"/>
                <w:szCs w:val="22"/>
              </w:rPr>
              <w:t>评标委员会按招标文件确定的评标标准和方法，对投标文件进行评审，确定中标候选人推荐顺序，并对评标结果予以公示。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6.1.1</w:t>
            </w:r>
          </w:p>
        </w:tc>
        <w:tc>
          <w:tcPr>
            <w:tcW w:w="1916" w:type="dxa"/>
            <w:vAlign w:val="center"/>
          </w:tcPr>
          <w:p>
            <w:pPr>
              <w:bidi w:val="0"/>
              <w:jc w:val="center"/>
              <w:rPr>
                <w:color w:val="auto"/>
                <w:sz w:val="22"/>
                <w:szCs w:val="22"/>
                <w:highlight w:val="none"/>
              </w:rPr>
            </w:pPr>
            <w:r>
              <w:rPr>
                <w:color w:val="auto"/>
                <w:sz w:val="22"/>
                <w:szCs w:val="22"/>
                <w:highlight w:val="none"/>
              </w:rPr>
              <w:t>评标委员会组建</w:t>
            </w:r>
          </w:p>
        </w:tc>
        <w:tc>
          <w:tcPr>
            <w:tcW w:w="7063" w:type="dxa"/>
            <w:gridSpan w:val="2"/>
            <w:vAlign w:val="center"/>
          </w:tcPr>
          <w:p>
            <w:pPr>
              <w:pStyle w:val="29"/>
              <w:numPr>
                <w:ilvl w:val="0"/>
                <w:numId w:val="0"/>
              </w:numPr>
              <w:tabs>
                <w:tab w:val="left" w:pos="424"/>
              </w:tabs>
              <w:spacing w:before="2" w:after="0" w:line="319" w:lineRule="auto"/>
              <w:ind w:right="97" w:rightChars="0"/>
              <w:jc w:val="left"/>
              <w:rPr>
                <w:color w:val="auto"/>
                <w:sz w:val="22"/>
                <w:szCs w:val="22"/>
                <w:highlight w:val="none"/>
              </w:rPr>
            </w:pPr>
            <w:r>
              <w:rPr>
                <w:color w:val="auto"/>
                <w:sz w:val="22"/>
                <w:szCs w:val="22"/>
                <w:highlight w:val="none"/>
              </w:rPr>
              <w:t>招标人在开标前</w:t>
            </w:r>
            <w:r>
              <w:rPr>
                <w:rFonts w:hint="eastAsia"/>
                <w:color w:val="auto"/>
                <w:sz w:val="22"/>
                <w:szCs w:val="22"/>
                <w:highlight w:val="none"/>
                <w:lang w:val="en-US" w:eastAsia="zh-CN"/>
              </w:rPr>
              <w:t>参</w:t>
            </w:r>
            <w:r>
              <w:rPr>
                <w:color w:val="auto"/>
                <w:sz w:val="22"/>
                <w:szCs w:val="22"/>
                <w:highlight w:val="none"/>
              </w:rPr>
              <w:t>照有关规定依法组建评标委员会，由</w:t>
            </w:r>
            <w:r>
              <w:rPr>
                <w:rFonts w:hint="eastAsia"/>
                <w:color w:val="auto"/>
                <w:sz w:val="22"/>
                <w:szCs w:val="22"/>
                <w:highlight w:val="none"/>
                <w:lang w:val="en-US" w:eastAsia="zh-CN"/>
              </w:rPr>
              <w:t>代理机构在</w:t>
            </w:r>
            <w:r>
              <w:rPr>
                <w:color w:val="auto"/>
                <w:sz w:val="22"/>
                <w:szCs w:val="22"/>
                <w:highlight w:val="none"/>
              </w:rPr>
              <w:t>广东省综合评标评审专家库中</w:t>
            </w:r>
            <w:r>
              <w:rPr>
                <w:rFonts w:hint="eastAsia"/>
                <w:color w:val="auto"/>
                <w:sz w:val="22"/>
                <w:szCs w:val="22"/>
                <w:highlight w:val="none"/>
                <w:lang w:val="en-US" w:eastAsia="zh-CN"/>
              </w:rPr>
              <w:t>邀请</w:t>
            </w:r>
            <w:r>
              <w:rPr>
                <w:color w:val="auto"/>
                <w:sz w:val="22"/>
                <w:szCs w:val="22"/>
                <w:highlight w:val="none"/>
              </w:rPr>
              <w:t>相关专业的技术、经济等方面的专家组成，成员人数为</w:t>
            </w:r>
            <w:r>
              <w:rPr>
                <w:rFonts w:hint="eastAsia"/>
                <w:color w:val="auto"/>
                <w:sz w:val="22"/>
                <w:szCs w:val="22"/>
                <w:highlight w:val="none"/>
                <w:lang w:val="en-US" w:eastAsia="zh-CN"/>
              </w:rPr>
              <w:t>5</w:t>
            </w:r>
            <w:r>
              <w:rPr>
                <w:color w:val="auto"/>
                <w:sz w:val="22"/>
                <w:szCs w:val="22"/>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7.1</w:t>
            </w:r>
          </w:p>
        </w:tc>
        <w:tc>
          <w:tcPr>
            <w:tcW w:w="1916" w:type="dxa"/>
            <w:vAlign w:val="center"/>
          </w:tcPr>
          <w:p>
            <w:pPr>
              <w:bidi w:val="0"/>
              <w:jc w:val="center"/>
              <w:rPr>
                <w:color w:val="auto"/>
                <w:sz w:val="22"/>
                <w:szCs w:val="22"/>
                <w:highlight w:val="none"/>
              </w:rPr>
            </w:pPr>
            <w:r>
              <w:rPr>
                <w:color w:val="auto"/>
                <w:sz w:val="22"/>
                <w:szCs w:val="22"/>
                <w:highlight w:val="none"/>
              </w:rPr>
              <w:t>是否授权评标委员会确定中标人</w:t>
            </w:r>
          </w:p>
        </w:tc>
        <w:tc>
          <w:tcPr>
            <w:tcW w:w="7063" w:type="dxa"/>
            <w:gridSpan w:val="2"/>
            <w:vAlign w:val="center"/>
          </w:tcPr>
          <w:p>
            <w:pPr>
              <w:pStyle w:val="29"/>
              <w:spacing w:before="116"/>
              <w:rPr>
                <w:color w:val="auto"/>
                <w:sz w:val="22"/>
                <w:szCs w:val="22"/>
                <w:highlight w:val="none"/>
              </w:rPr>
            </w:pPr>
            <w:r>
              <w:rPr>
                <w:rFonts w:hint="eastAsia"/>
                <w:color w:val="auto"/>
                <w:sz w:val="22"/>
                <w:szCs w:val="22"/>
                <w:highlight w:val="none"/>
                <w:lang w:eastAsia="zh-CN"/>
              </w:rPr>
              <w:t>□</w:t>
            </w:r>
            <w:r>
              <w:rPr>
                <w:color w:val="auto"/>
                <w:sz w:val="22"/>
                <w:szCs w:val="22"/>
                <w:highlight w:val="none"/>
              </w:rPr>
              <w:t xml:space="preserve"> 是</w:t>
            </w:r>
          </w:p>
          <w:p>
            <w:pPr>
              <w:pStyle w:val="29"/>
              <w:numPr>
                <w:ilvl w:val="0"/>
                <w:numId w:val="0"/>
              </w:numPr>
              <w:tabs>
                <w:tab w:val="left" w:pos="424"/>
              </w:tabs>
              <w:spacing w:before="2" w:after="0" w:line="319" w:lineRule="auto"/>
              <w:ind w:right="97" w:rightChars="0"/>
              <w:jc w:val="left"/>
              <w:rPr>
                <w:color w:val="auto"/>
                <w:sz w:val="22"/>
                <w:szCs w:val="22"/>
                <w:highlight w:val="none"/>
              </w:rPr>
            </w:pPr>
            <w:r>
              <w:rPr>
                <w:color w:val="auto"/>
                <w:spacing w:val="-212"/>
                <w:w w:val="100"/>
                <w:position w:val="2"/>
                <w:sz w:val="22"/>
                <w:szCs w:val="22"/>
                <w:highlight w:val="none"/>
              </w:rPr>
              <w:t>√</w:t>
            </w:r>
            <w:r>
              <w:rPr>
                <w:color w:val="auto"/>
                <w:w w:val="100"/>
                <w:sz w:val="22"/>
                <w:szCs w:val="22"/>
                <w:highlight w:val="none"/>
              </w:rPr>
              <w:t>□</w:t>
            </w:r>
            <w:r>
              <w:rPr>
                <w:color w:val="auto"/>
                <w:spacing w:val="1"/>
                <w:sz w:val="22"/>
                <w:szCs w:val="22"/>
                <w:highlight w:val="none"/>
              </w:rPr>
              <w:t xml:space="preserve"> </w:t>
            </w:r>
            <w:r>
              <w:rPr>
                <w:color w:val="auto"/>
                <w:spacing w:val="-2"/>
                <w:w w:val="100"/>
                <w:sz w:val="22"/>
                <w:szCs w:val="22"/>
                <w:highlight w:val="none"/>
              </w:rPr>
              <w:t>否,推荐的中标候选人数</w:t>
            </w:r>
            <w:r>
              <w:rPr>
                <w:color w:val="auto"/>
                <w:w w:val="100"/>
                <w:sz w:val="22"/>
                <w:szCs w:val="22"/>
                <w:highlight w:val="none"/>
              </w:rPr>
              <w:t>：3</w:t>
            </w:r>
            <w:r>
              <w:rPr>
                <w:color w:val="auto"/>
                <w:spacing w:val="-57"/>
                <w:sz w:val="22"/>
                <w:szCs w:val="22"/>
                <w:highlight w:val="none"/>
              </w:rPr>
              <w:t xml:space="preserve"> </w:t>
            </w:r>
            <w:r>
              <w:rPr>
                <w:color w:val="auto"/>
                <w:w w:val="100"/>
                <w:sz w:val="22"/>
                <w:szCs w:val="22"/>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bidi w:val="0"/>
              <w:jc w:val="center"/>
              <w:rPr>
                <w:color w:val="auto"/>
                <w:sz w:val="22"/>
                <w:szCs w:val="22"/>
                <w:highlight w:val="none"/>
              </w:rPr>
            </w:pPr>
            <w:r>
              <w:rPr>
                <w:color w:val="auto"/>
                <w:sz w:val="22"/>
                <w:szCs w:val="22"/>
                <w:highlight w:val="none"/>
              </w:rPr>
              <w:t>7.3.1</w:t>
            </w:r>
          </w:p>
        </w:tc>
        <w:tc>
          <w:tcPr>
            <w:tcW w:w="1916" w:type="dxa"/>
            <w:vAlign w:val="center"/>
          </w:tcPr>
          <w:p>
            <w:pPr>
              <w:bidi w:val="0"/>
              <w:jc w:val="center"/>
              <w:rPr>
                <w:color w:val="auto"/>
                <w:sz w:val="22"/>
                <w:szCs w:val="22"/>
                <w:highlight w:val="none"/>
              </w:rPr>
            </w:pPr>
            <w:r>
              <w:rPr>
                <w:color w:val="auto"/>
                <w:sz w:val="22"/>
                <w:szCs w:val="22"/>
                <w:highlight w:val="none"/>
              </w:rPr>
              <w:t>履</w:t>
            </w:r>
            <w:r>
              <w:rPr>
                <w:rFonts w:hint="eastAsia"/>
                <w:color w:val="auto"/>
                <w:sz w:val="22"/>
                <w:szCs w:val="22"/>
                <w:highlight w:val="none"/>
                <w:lang w:eastAsia="zh-CN"/>
              </w:rPr>
              <w:t>约</w:t>
            </w:r>
            <w:r>
              <w:rPr>
                <w:color w:val="auto"/>
                <w:sz w:val="22"/>
                <w:szCs w:val="22"/>
                <w:highlight w:val="none"/>
              </w:rPr>
              <w:t>担保和支付担保</w:t>
            </w:r>
          </w:p>
        </w:tc>
        <w:tc>
          <w:tcPr>
            <w:tcW w:w="7063" w:type="dxa"/>
            <w:gridSpan w:val="2"/>
            <w:vAlign w:val="center"/>
          </w:tcPr>
          <w:p>
            <w:pPr>
              <w:pStyle w:val="29"/>
              <w:spacing w:before="110" w:line="360" w:lineRule="auto"/>
              <w:ind w:left="109" w:right="-29" w:firstLine="423"/>
              <w:rPr>
                <w:color w:val="auto"/>
                <w:sz w:val="22"/>
                <w:szCs w:val="22"/>
                <w:highlight w:val="none"/>
              </w:rPr>
            </w:pPr>
            <w:r>
              <w:rPr>
                <w:color w:val="auto"/>
                <w:sz w:val="22"/>
                <w:szCs w:val="22"/>
                <w:highlight w:val="none"/>
              </w:rPr>
              <w:t>1</w:t>
            </w:r>
            <w:r>
              <w:rPr>
                <w:color w:val="auto"/>
                <w:spacing w:val="-7"/>
                <w:sz w:val="22"/>
                <w:szCs w:val="22"/>
                <w:highlight w:val="none"/>
              </w:rPr>
              <w:t xml:space="preserve">、在合同协议书签署后五日内，中标人须向招标人提交履约担保， </w:t>
            </w:r>
            <w:r>
              <w:rPr>
                <w:color w:val="auto"/>
                <w:spacing w:val="-11"/>
                <w:sz w:val="22"/>
                <w:szCs w:val="22"/>
                <w:highlight w:val="none"/>
              </w:rPr>
              <w:t xml:space="preserve">金额为工程合同价的 </w:t>
            </w:r>
            <w:r>
              <w:rPr>
                <w:rFonts w:hint="eastAsia"/>
                <w:color w:val="auto"/>
                <w:sz w:val="22"/>
                <w:szCs w:val="22"/>
                <w:highlight w:val="none"/>
                <w:lang w:val="en-US" w:eastAsia="zh-CN"/>
              </w:rPr>
              <w:t>10</w:t>
            </w:r>
            <w:r>
              <w:rPr>
                <w:color w:val="auto"/>
                <w:sz w:val="22"/>
                <w:szCs w:val="22"/>
                <w:highlight w:val="none"/>
              </w:rPr>
              <w:t>％；</w:t>
            </w:r>
          </w:p>
          <w:p>
            <w:pPr>
              <w:pStyle w:val="29"/>
              <w:spacing w:line="263" w:lineRule="exact"/>
              <w:ind w:left="532" w:right="-29"/>
              <w:rPr>
                <w:color w:val="auto"/>
                <w:sz w:val="22"/>
                <w:szCs w:val="22"/>
                <w:highlight w:val="none"/>
              </w:rPr>
            </w:pPr>
            <w:r>
              <w:rPr>
                <w:color w:val="auto"/>
                <w:sz w:val="22"/>
                <w:szCs w:val="22"/>
                <w:highlight w:val="none"/>
              </w:rPr>
              <w:t>2</w:t>
            </w:r>
            <w:r>
              <w:rPr>
                <w:color w:val="auto"/>
                <w:spacing w:val="-7"/>
                <w:sz w:val="22"/>
                <w:szCs w:val="22"/>
                <w:highlight w:val="none"/>
              </w:rPr>
              <w:t>、在合同协议书签署后五日内，招标人须向中标人提交支付担保，</w:t>
            </w:r>
          </w:p>
          <w:p>
            <w:pPr>
              <w:pStyle w:val="29"/>
              <w:numPr>
                <w:ilvl w:val="0"/>
                <w:numId w:val="0"/>
              </w:numPr>
              <w:tabs>
                <w:tab w:val="left" w:pos="424"/>
              </w:tabs>
              <w:spacing w:before="2" w:after="0" w:line="319" w:lineRule="auto"/>
              <w:ind w:right="97" w:rightChars="0"/>
              <w:jc w:val="left"/>
              <w:rPr>
                <w:color w:val="auto"/>
                <w:sz w:val="22"/>
                <w:szCs w:val="22"/>
                <w:highlight w:val="none"/>
              </w:rPr>
            </w:pPr>
            <w:r>
              <w:rPr>
                <w:color w:val="auto"/>
                <w:sz w:val="22"/>
                <w:szCs w:val="22"/>
                <w:highlight w:val="none"/>
              </w:rPr>
              <w:t>金额和履约担保金额对等；</w:t>
            </w:r>
          </w:p>
          <w:p>
            <w:pPr>
              <w:pStyle w:val="29"/>
              <w:numPr>
                <w:ilvl w:val="0"/>
                <w:numId w:val="0"/>
              </w:numPr>
              <w:tabs>
                <w:tab w:val="left" w:pos="424"/>
              </w:tabs>
              <w:spacing w:before="2" w:after="0" w:line="319" w:lineRule="auto"/>
              <w:ind w:right="97" w:rightChars="0" w:firstLine="456" w:firstLineChars="200"/>
              <w:jc w:val="left"/>
              <w:rPr>
                <w:color w:val="auto"/>
                <w:sz w:val="22"/>
                <w:szCs w:val="22"/>
                <w:highlight w:val="none"/>
              </w:rPr>
            </w:pPr>
            <w:r>
              <w:rPr>
                <w:color w:val="auto"/>
                <w:spacing w:val="4"/>
                <w:sz w:val="22"/>
                <w:szCs w:val="22"/>
                <w:highlight w:val="none"/>
              </w:rPr>
              <w:t>3</w:t>
            </w:r>
            <w:r>
              <w:rPr>
                <w:color w:val="auto"/>
                <w:spacing w:val="-1"/>
                <w:sz w:val="22"/>
                <w:szCs w:val="22"/>
                <w:highlight w:val="none"/>
              </w:rPr>
              <w:t>、在合同有效期内中标人不按承诺的质量、工期，以及合同约定</w:t>
            </w:r>
            <w:r>
              <w:rPr>
                <w:color w:val="auto"/>
                <w:spacing w:val="-8"/>
                <w:sz w:val="22"/>
                <w:szCs w:val="22"/>
                <w:highlight w:val="none"/>
              </w:rPr>
              <w:t>的履行合同的，招标人可没收中标人履约担保；因招标人原因，招标人</w:t>
            </w:r>
            <w:r>
              <w:rPr>
                <w:color w:val="auto"/>
                <w:spacing w:val="-5"/>
                <w:sz w:val="22"/>
                <w:szCs w:val="22"/>
                <w:highlight w:val="none"/>
              </w:rPr>
              <w:t>单方面中止合同的，应双倍向投标人返还履约担保。</w:t>
            </w:r>
          </w:p>
          <w:p>
            <w:pPr>
              <w:pStyle w:val="29"/>
              <w:spacing w:before="6" w:line="357" w:lineRule="auto"/>
              <w:ind w:left="109" w:right="84" w:firstLine="423"/>
              <w:jc w:val="both"/>
              <w:rPr>
                <w:color w:val="auto"/>
                <w:sz w:val="22"/>
                <w:szCs w:val="22"/>
                <w:highlight w:val="none"/>
              </w:rPr>
            </w:pPr>
            <w:r>
              <w:rPr>
                <w:color w:val="auto"/>
                <w:spacing w:val="4"/>
                <w:sz w:val="22"/>
                <w:szCs w:val="22"/>
                <w:highlight w:val="none"/>
              </w:rPr>
              <w:t>4</w:t>
            </w:r>
            <w:r>
              <w:rPr>
                <w:color w:val="auto"/>
                <w:sz w:val="22"/>
                <w:szCs w:val="22"/>
                <w:highlight w:val="none"/>
              </w:rPr>
              <w:t>、履约担保、支付担保可采用以下任一方式：①银行担保；②保</w:t>
            </w:r>
            <w:r>
              <w:rPr>
                <w:color w:val="auto"/>
                <w:spacing w:val="4"/>
                <w:sz w:val="22"/>
                <w:szCs w:val="22"/>
                <w:highlight w:val="none"/>
              </w:rPr>
              <w:t>险或专业担保公司担保；③现金担保（转帐或电汇至双方指定专设帐</w:t>
            </w:r>
            <w:r>
              <w:rPr>
                <w:color w:val="auto"/>
                <w:sz w:val="22"/>
                <w:szCs w:val="22"/>
                <w:highlight w:val="none"/>
              </w:rPr>
              <w:t>户</w:t>
            </w:r>
            <w:r>
              <w:rPr>
                <w:color w:val="auto"/>
                <w:spacing w:val="-5"/>
                <w:sz w:val="22"/>
                <w:szCs w:val="22"/>
                <w:highlight w:val="none"/>
              </w:rPr>
              <w:t>）</w:t>
            </w:r>
            <w:r>
              <w:rPr>
                <w:color w:val="auto"/>
                <w:spacing w:val="-15"/>
                <w:sz w:val="22"/>
                <w:szCs w:val="22"/>
                <w:highlight w:val="none"/>
              </w:rPr>
              <w:t>。</w:t>
            </w:r>
            <w:r>
              <w:rPr>
                <w:color w:val="auto"/>
                <w:sz w:val="22"/>
                <w:szCs w:val="22"/>
                <w:highlight w:val="none"/>
              </w:rPr>
              <w:t>（</w:t>
            </w:r>
            <w:r>
              <w:rPr>
                <w:rFonts w:hint="eastAsia"/>
                <w:color w:val="auto"/>
                <w:spacing w:val="-6"/>
                <w:sz w:val="22"/>
                <w:szCs w:val="22"/>
                <w:highlight w:val="none"/>
              </w:rPr>
              <w:t>其中①担保的保证方式为连带责任保证，且须见索即付；②担保的保证方式为连带责任保证，保证期间为保修期限届满之日后</w:t>
            </w:r>
            <w:r>
              <w:rPr>
                <w:rFonts w:hint="eastAsia"/>
                <w:color w:val="auto"/>
                <w:spacing w:val="-6"/>
                <w:sz w:val="22"/>
                <w:szCs w:val="22"/>
                <w:highlight w:val="none"/>
                <w:lang w:val="en-US" w:eastAsia="zh-CN"/>
              </w:rPr>
              <w:t>6</w:t>
            </w:r>
            <w:r>
              <w:rPr>
                <w:rFonts w:hint="eastAsia"/>
                <w:color w:val="auto"/>
                <w:spacing w:val="-6"/>
                <w:sz w:val="22"/>
                <w:szCs w:val="22"/>
                <w:highlight w:val="none"/>
              </w:rPr>
              <w:t>个月</w:t>
            </w:r>
            <w:r>
              <w:rPr>
                <w:color w:val="auto"/>
                <w:spacing w:val="-7"/>
                <w:sz w:val="22"/>
                <w:szCs w:val="22"/>
                <w:highlight w:val="none"/>
              </w:rPr>
              <w:t>。且提供担保的银行、保险公司、担保公司须符合《关于商业银行、保险公司、担保机构开展建筑市场相关业务实</w:t>
            </w:r>
            <w:r>
              <w:rPr>
                <w:color w:val="auto"/>
                <w:spacing w:val="-9"/>
                <w:sz w:val="22"/>
                <w:szCs w:val="22"/>
                <w:highlight w:val="none"/>
              </w:rPr>
              <w:t>行清单管理的通知》</w:t>
            </w:r>
            <w:r>
              <w:rPr>
                <w:color w:val="auto"/>
                <w:spacing w:val="-5"/>
                <w:sz w:val="22"/>
                <w:szCs w:val="22"/>
                <w:highlight w:val="none"/>
              </w:rPr>
              <w:t>（云建市〔</w:t>
            </w:r>
            <w:r>
              <w:rPr>
                <w:color w:val="auto"/>
                <w:sz w:val="22"/>
                <w:szCs w:val="22"/>
                <w:highlight w:val="none"/>
              </w:rPr>
              <w:t>2018</w:t>
            </w:r>
            <w:r>
              <w:rPr>
                <w:color w:val="auto"/>
                <w:spacing w:val="-15"/>
                <w:sz w:val="22"/>
                <w:szCs w:val="22"/>
                <w:highlight w:val="none"/>
              </w:rPr>
              <w:t>〕</w:t>
            </w:r>
            <w:r>
              <w:rPr>
                <w:color w:val="auto"/>
                <w:sz w:val="22"/>
                <w:szCs w:val="22"/>
                <w:highlight w:val="none"/>
              </w:rPr>
              <w:t>48</w:t>
            </w:r>
            <w:r>
              <w:rPr>
                <w:color w:val="auto"/>
                <w:spacing w:val="-15"/>
                <w:sz w:val="22"/>
                <w:szCs w:val="22"/>
                <w:highlight w:val="none"/>
              </w:rPr>
              <w:t xml:space="preserve"> 号）</w:t>
            </w:r>
            <w:r>
              <w:rPr>
                <w:color w:val="auto"/>
                <w:spacing w:val="-5"/>
                <w:sz w:val="22"/>
                <w:szCs w:val="22"/>
                <w:highlight w:val="none"/>
              </w:rPr>
              <w:t>的要求，并在云浮市住房</w:t>
            </w:r>
            <w:r>
              <w:rPr>
                <w:color w:val="auto"/>
                <w:spacing w:val="-7"/>
                <w:sz w:val="22"/>
                <w:szCs w:val="22"/>
                <w:highlight w:val="none"/>
              </w:rPr>
              <w:t>和城乡建设局公布的最新一期商业银行、保险公司、担保机构名录公示</w:t>
            </w:r>
            <w:r>
              <w:rPr>
                <w:color w:val="auto"/>
                <w:sz w:val="22"/>
                <w:szCs w:val="22"/>
                <w:highlight w:val="none"/>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23" w:type="dxa"/>
            <w:gridSpan w:val="4"/>
            <w:vAlign w:val="center"/>
          </w:tcPr>
          <w:p>
            <w:pPr>
              <w:pStyle w:val="29"/>
              <w:numPr>
                <w:ilvl w:val="0"/>
                <w:numId w:val="0"/>
              </w:numPr>
              <w:tabs>
                <w:tab w:val="left" w:pos="424"/>
              </w:tabs>
              <w:spacing w:before="2" w:after="0" w:line="319" w:lineRule="auto"/>
              <w:ind w:right="97" w:rightChars="0"/>
              <w:jc w:val="center"/>
              <w:rPr>
                <w:color w:val="auto"/>
                <w:sz w:val="22"/>
                <w:szCs w:val="22"/>
                <w:highlight w:val="none"/>
              </w:rPr>
            </w:pPr>
            <w:r>
              <w:rPr>
                <w:b/>
                <w:bCs/>
                <w:color w:val="auto"/>
                <w:sz w:val="22"/>
                <w:szCs w:val="22"/>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Merge w:val="restart"/>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r>
              <w:rPr>
                <w:color w:val="auto"/>
                <w:sz w:val="22"/>
                <w:szCs w:val="22"/>
                <w:highlight w:val="none"/>
              </w:rPr>
              <w:t>10.3</w:t>
            </w:r>
          </w:p>
        </w:tc>
        <w:tc>
          <w:tcPr>
            <w:tcW w:w="1916" w:type="dxa"/>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r>
              <w:rPr>
                <w:rFonts w:hint="eastAsia" w:ascii="宋体" w:hAnsi="宋体"/>
                <w:sz w:val="22"/>
                <w:szCs w:val="22"/>
                <w:highlight w:val="none"/>
              </w:rPr>
              <w:t>工人工资支付保证金和工人工资支付分账管理</w:t>
            </w:r>
          </w:p>
        </w:tc>
        <w:tc>
          <w:tcPr>
            <w:tcW w:w="7063" w:type="dxa"/>
            <w:gridSpan w:val="2"/>
            <w:vAlign w:val="center"/>
          </w:tcPr>
          <w:p>
            <w:pPr>
              <w:pStyle w:val="38"/>
              <w:spacing w:line="400" w:lineRule="exact"/>
              <w:ind w:firstLine="440" w:firstLineChars="200"/>
              <w:rPr>
                <w:b/>
                <w:bCs/>
                <w:color w:val="auto"/>
                <w:sz w:val="22"/>
                <w:szCs w:val="22"/>
                <w:highlight w:val="none"/>
              </w:rPr>
            </w:pPr>
            <w:r>
              <w:rPr>
                <w:rFonts w:hint="eastAsia" w:hAnsi="宋体"/>
                <w:bCs/>
                <w:snapToGrid w:val="0"/>
                <w:kern w:val="2"/>
                <w:sz w:val="22"/>
                <w:szCs w:val="22"/>
                <w:highlight w:val="none"/>
                <w:lang w:val="en-US" w:eastAsia="zh-CN"/>
              </w:rPr>
              <w:t>按《云浮市建筑施工企业工人工资支付保证金管理暂行办事实施细则》、《云浮市人民政府办公室关于印发云浮市工程建设领域工人工资支付保证金管理办法的通知》（云府办[2016]17号）、《关于进一步落实建设领域工人工资支付分账管理制度的通知》（云建市〔2018〕10号）、保障农名工工资支付条例（国令第724号）、《住房城乡建设部 人力资源社会保障部关于印发建筑工人实名管理办法（试行）的通知》（建市 〔2019〕18 号）、《关于云浮市实施房屋建筑和市政基础设施工程用工实名制管理的通知》（云建市[2018]19号）、《关于进一步推进建筑市场用工实名制和工资支付分账管理工作的通知》（云建市[2019]42号）、《关于印发广东省建设工程领域工人工资支付专用账户管理办法的通知》（粤人社规[2018]14号）、《关于印发广东省建设工程领域用工实名管理暂行办法的通知》（粤建规范[2019]1号）、关于印发《云浮市建设领域工人工资支付与工程款支付分账管理实施办法》的通知（云人社发[2018]145号）、《广东省人力资源和社会保障厅 广东省住房和城乡建设厅 广东省交通运输厅 广东省水利厅 关于建设工程领域农民工工资支付保证金管理办法》的通知（粤人社规[2019]10号）的有关规定执行。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Merge w:val="continue"/>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p>
        </w:tc>
        <w:tc>
          <w:tcPr>
            <w:tcW w:w="1916" w:type="dxa"/>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r>
              <w:rPr>
                <w:color w:val="auto"/>
                <w:sz w:val="22"/>
                <w:szCs w:val="22"/>
                <w:highlight w:val="none"/>
              </w:rPr>
              <w:t>工伤保险</w:t>
            </w:r>
          </w:p>
        </w:tc>
        <w:tc>
          <w:tcPr>
            <w:tcW w:w="7063" w:type="dxa"/>
            <w:gridSpan w:val="2"/>
            <w:vAlign w:val="center"/>
          </w:tcPr>
          <w:p>
            <w:pPr>
              <w:pStyle w:val="29"/>
              <w:numPr>
                <w:ilvl w:val="0"/>
                <w:numId w:val="0"/>
              </w:numPr>
              <w:tabs>
                <w:tab w:val="left" w:pos="424"/>
              </w:tabs>
              <w:spacing w:before="2" w:after="0" w:line="319" w:lineRule="auto"/>
              <w:ind w:right="97" w:rightChars="0"/>
              <w:jc w:val="left"/>
              <w:rPr>
                <w:b/>
                <w:bCs/>
                <w:color w:val="auto"/>
                <w:sz w:val="22"/>
                <w:szCs w:val="22"/>
                <w:highlight w:val="none"/>
              </w:rPr>
            </w:pPr>
            <w:r>
              <w:rPr>
                <w:rFonts w:hint="eastAsia" w:hAnsi="宋体"/>
                <w:bCs/>
                <w:snapToGrid w:val="0"/>
                <w:kern w:val="2"/>
                <w:sz w:val="22"/>
                <w:szCs w:val="22"/>
                <w:highlight w:val="none"/>
                <w:lang w:val="en-US" w:eastAsia="zh-CN"/>
              </w:rPr>
              <w:t>按《工伤保险条例》及《广东省工伤保险条例》和《人力资源社会保障部办公厅关于进一步做好建筑业工伤保险工作的通知》（人社厅函[2017]53号）执行。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r>
              <w:rPr>
                <w:color w:val="auto"/>
                <w:sz w:val="22"/>
                <w:szCs w:val="22"/>
                <w:highlight w:val="none"/>
              </w:rPr>
              <w:t>10.4</w:t>
            </w:r>
          </w:p>
        </w:tc>
        <w:tc>
          <w:tcPr>
            <w:tcW w:w="1916" w:type="dxa"/>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r>
              <w:rPr>
                <w:color w:val="auto"/>
                <w:sz w:val="22"/>
                <w:szCs w:val="22"/>
                <w:highlight w:val="none"/>
              </w:rPr>
              <w:t>建设工程</w:t>
            </w:r>
            <w:r>
              <w:rPr>
                <w:rFonts w:hint="eastAsia" w:ascii="宋体" w:hAnsi="宋体" w:eastAsia="宋体" w:cs="宋体"/>
                <w:color w:val="auto"/>
                <w:sz w:val="22"/>
                <w:szCs w:val="22"/>
                <w:highlight w:val="none"/>
                <w:lang w:val="zh-CN" w:eastAsia="zh-CN" w:bidi="zh-CN"/>
              </w:rPr>
              <w:t>绿色施工（含施工扬尘污染防治措施费）、临时设施、安全施工和用工实名管理</w:t>
            </w:r>
          </w:p>
        </w:tc>
        <w:tc>
          <w:tcPr>
            <w:tcW w:w="7063" w:type="dxa"/>
            <w:gridSpan w:val="2"/>
            <w:vAlign w:val="center"/>
          </w:tcPr>
          <w:p>
            <w:pPr>
              <w:pStyle w:val="29"/>
              <w:numPr>
                <w:ilvl w:val="0"/>
                <w:numId w:val="0"/>
              </w:numPr>
              <w:tabs>
                <w:tab w:val="left" w:pos="424"/>
              </w:tabs>
              <w:spacing w:before="2" w:after="0" w:line="319" w:lineRule="auto"/>
              <w:ind w:right="97" w:rightChars="0"/>
              <w:jc w:val="left"/>
              <w:rPr>
                <w:b/>
                <w:bCs/>
                <w:color w:val="auto"/>
                <w:sz w:val="22"/>
                <w:szCs w:val="22"/>
                <w:highlight w:val="none"/>
              </w:rPr>
            </w:pPr>
            <w:r>
              <w:rPr>
                <w:rFonts w:ascii="宋体" w:hAnsi="宋体" w:eastAsia="宋体" w:cs="宋体"/>
                <w:color w:val="auto"/>
                <w:sz w:val="22"/>
                <w:szCs w:val="22"/>
                <w:highlight w:val="none"/>
                <w:lang w:val="zh-CN" w:eastAsia="zh-CN" w:bidi="zh-CN"/>
              </w:rPr>
              <w:t>承包人须按《广东省人民政府办公厅关于印发广东省建设工程施工扬尘污染防治管理办法(试行)的通知》(</w:t>
            </w:r>
            <w:r>
              <w:rPr>
                <w:rFonts w:hint="eastAsia"/>
                <w:color w:val="auto"/>
                <w:spacing w:val="-13"/>
                <w:sz w:val="22"/>
                <w:szCs w:val="22"/>
                <w:highlight w:val="none"/>
                <w:lang w:val="en-US" w:eastAsia="zh-CN"/>
              </w:rPr>
              <w:t>粤</w:t>
            </w:r>
            <w:r>
              <w:rPr>
                <w:rFonts w:ascii="宋体" w:hAnsi="宋体" w:eastAsia="宋体" w:cs="宋体"/>
                <w:color w:val="auto"/>
                <w:sz w:val="22"/>
                <w:szCs w:val="22"/>
                <w:highlight w:val="none"/>
                <w:lang w:val="zh-CN" w:eastAsia="zh-CN" w:bidi="zh-CN"/>
              </w:rPr>
              <w:t xml:space="preserve">办函(2017) 708 号)、《广东省住房和城乡建设厅关于采取切实措施坚决遏制施工扬尘污染的紧急通知》( </w:t>
            </w:r>
            <w:r>
              <w:rPr>
                <w:rFonts w:hint="eastAsia"/>
                <w:color w:val="auto"/>
                <w:spacing w:val="-13"/>
                <w:sz w:val="22"/>
                <w:szCs w:val="22"/>
                <w:highlight w:val="none"/>
                <w:lang w:val="en-US" w:eastAsia="zh-CN"/>
              </w:rPr>
              <w:t>粤</w:t>
            </w:r>
            <w:r>
              <w:rPr>
                <w:rFonts w:ascii="宋体" w:hAnsi="宋体" w:eastAsia="宋体" w:cs="宋体"/>
                <w:color w:val="auto"/>
                <w:sz w:val="22"/>
                <w:szCs w:val="22"/>
                <w:highlight w:val="none"/>
                <w:lang w:val="zh-CN" w:eastAsia="zh-CN" w:bidi="zh-CN"/>
              </w:rPr>
              <w:t>建电发(2018) 20号)、《云浮市住房和城乡建设局关于建筑施工扬尘整治“六个100%”和“七个一”措施标准的公告》、《广东省房屋建筑和市政基础设施工程用工实名管理暂行办法》(</w:t>
            </w:r>
            <w:r>
              <w:rPr>
                <w:rFonts w:hint="eastAsia"/>
                <w:color w:val="auto"/>
                <w:spacing w:val="-13"/>
                <w:sz w:val="22"/>
                <w:szCs w:val="22"/>
                <w:highlight w:val="none"/>
                <w:lang w:val="en-US" w:eastAsia="zh-CN"/>
              </w:rPr>
              <w:t>粤</w:t>
            </w:r>
            <w:r>
              <w:rPr>
                <w:rFonts w:ascii="宋体" w:hAnsi="宋体" w:eastAsia="宋体" w:cs="宋体"/>
                <w:color w:val="auto"/>
                <w:sz w:val="22"/>
                <w:szCs w:val="22"/>
                <w:highlight w:val="none"/>
                <w:lang w:val="zh-CN" w:eastAsia="zh-CN" w:bidi="zh-CN"/>
              </w:rPr>
              <w:t>建规范 (2018) 1号)、《关于建设工程施工扬尘污染防治措施和用工实名管理费用计价有关事项的通知》</w:t>
            </w:r>
            <w:r>
              <w:rPr>
                <w:rFonts w:hint="eastAsia"/>
                <w:color w:val="auto"/>
                <w:spacing w:val="-13"/>
                <w:sz w:val="22"/>
                <w:szCs w:val="22"/>
                <w:highlight w:val="none"/>
                <w:lang w:val="en-US" w:eastAsia="zh-CN"/>
              </w:rPr>
              <w:t>粤</w:t>
            </w:r>
            <w:r>
              <w:rPr>
                <w:rFonts w:ascii="宋体" w:hAnsi="宋体" w:eastAsia="宋体" w:cs="宋体"/>
                <w:color w:val="auto"/>
                <w:sz w:val="22"/>
                <w:szCs w:val="22"/>
                <w:highlight w:val="none"/>
                <w:lang w:val="zh-CN" w:eastAsia="zh-CN" w:bidi="zh-CN"/>
              </w:rPr>
              <w:t>建标函(2018) 106号)的有关规定做好各项施工防扬尘污染和用工实名管理工作。</w:t>
            </w:r>
            <w:r>
              <w:rPr>
                <w:rFonts w:hint="eastAsia" w:ascii="宋体" w:hAnsi="宋体" w:eastAsia="宋体" w:cs="宋体"/>
                <w:color w:val="auto"/>
                <w:sz w:val="22"/>
                <w:szCs w:val="22"/>
                <w:highlight w:val="none"/>
                <w:lang w:val="zh-CN" w:eastAsia="zh-CN" w:bidi="zh-CN"/>
              </w:rPr>
              <w:t>绿色施工安全防护措施费包括绿色施工（含施工扬尘污染防治措施费）、临时设施、安全施工和用工实名管理等费用，其费用为不可竞争费用</w:t>
            </w:r>
            <w:r>
              <w:rPr>
                <w:rFonts w:hint="eastAsia" w:cs="宋体"/>
                <w:color w:val="auto"/>
                <w:sz w:val="22"/>
                <w:szCs w:val="22"/>
                <w:highlight w:val="none"/>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4" w:type="dxa"/>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r>
              <w:rPr>
                <w:color w:val="auto"/>
                <w:sz w:val="22"/>
                <w:szCs w:val="22"/>
                <w:highlight w:val="none"/>
              </w:rPr>
              <w:t>10.5</w:t>
            </w:r>
          </w:p>
        </w:tc>
        <w:tc>
          <w:tcPr>
            <w:tcW w:w="1916" w:type="dxa"/>
            <w:vAlign w:val="center"/>
          </w:tcPr>
          <w:p>
            <w:pPr>
              <w:pStyle w:val="29"/>
              <w:numPr>
                <w:ilvl w:val="0"/>
                <w:numId w:val="0"/>
              </w:numPr>
              <w:tabs>
                <w:tab w:val="left" w:pos="424"/>
              </w:tabs>
              <w:spacing w:before="2" w:after="0" w:line="319" w:lineRule="auto"/>
              <w:ind w:right="97" w:rightChars="0"/>
              <w:jc w:val="center"/>
              <w:rPr>
                <w:b/>
                <w:bCs/>
                <w:color w:val="auto"/>
                <w:sz w:val="22"/>
                <w:szCs w:val="22"/>
                <w:highlight w:val="none"/>
              </w:rPr>
            </w:pPr>
            <w:r>
              <w:rPr>
                <w:color w:val="auto"/>
                <w:sz w:val="22"/>
                <w:szCs w:val="22"/>
                <w:highlight w:val="none"/>
              </w:rPr>
              <w:t>电子招标投标</w:t>
            </w:r>
          </w:p>
        </w:tc>
        <w:tc>
          <w:tcPr>
            <w:tcW w:w="7063" w:type="dxa"/>
            <w:gridSpan w:val="2"/>
            <w:vAlign w:val="center"/>
          </w:tcPr>
          <w:p>
            <w:pPr>
              <w:pStyle w:val="29"/>
              <w:spacing w:before="91"/>
              <w:rPr>
                <w:color w:val="auto"/>
                <w:sz w:val="22"/>
                <w:szCs w:val="22"/>
                <w:highlight w:val="none"/>
              </w:rPr>
            </w:pPr>
            <w:r>
              <w:rPr>
                <w:color w:val="auto"/>
                <w:sz w:val="22"/>
                <w:szCs w:val="22"/>
                <w:highlight w:val="none"/>
              </w:rPr>
              <w:sym w:font="Wingdings" w:char="00A8"/>
            </w:r>
            <w:r>
              <w:rPr>
                <w:color w:val="auto"/>
                <w:sz w:val="22"/>
                <w:szCs w:val="22"/>
                <w:highlight w:val="none"/>
              </w:rPr>
              <w:t>是，具体要求：按</w:t>
            </w:r>
            <w:r>
              <w:rPr>
                <w:rFonts w:hint="eastAsia"/>
                <w:color w:val="auto"/>
                <w:sz w:val="22"/>
                <w:szCs w:val="22"/>
                <w:highlight w:val="none"/>
                <w:lang w:val="en-US" w:eastAsia="zh-CN"/>
              </w:rPr>
              <w:t>广东晓君项目管理有限公司</w:t>
            </w:r>
            <w:r>
              <w:rPr>
                <w:color w:val="auto"/>
                <w:sz w:val="22"/>
                <w:szCs w:val="22"/>
                <w:highlight w:val="none"/>
              </w:rPr>
              <w:t>的相关要求执行。</w:t>
            </w:r>
          </w:p>
          <w:p>
            <w:pPr>
              <w:pStyle w:val="29"/>
              <w:numPr>
                <w:ilvl w:val="0"/>
                <w:numId w:val="0"/>
              </w:numPr>
              <w:tabs>
                <w:tab w:val="left" w:pos="424"/>
              </w:tabs>
              <w:spacing w:before="2" w:after="0" w:line="319" w:lineRule="auto"/>
              <w:ind w:right="97" w:rightChars="0"/>
              <w:jc w:val="left"/>
              <w:rPr>
                <w:b/>
                <w:bCs/>
                <w:color w:val="auto"/>
                <w:sz w:val="22"/>
                <w:szCs w:val="22"/>
                <w:highlight w:val="none"/>
              </w:rPr>
            </w:pPr>
            <w:r>
              <w:rPr>
                <w:color w:val="auto"/>
                <w:sz w:val="22"/>
                <w:szCs w:val="22"/>
                <w:highlight w:val="none"/>
              </w:rPr>
              <w:sym w:font="Wingdings" w:char="00FE"/>
            </w:r>
            <w:r>
              <w:rPr>
                <w:color w:val="auto"/>
                <w:sz w:val="22"/>
                <w:szCs w:val="22"/>
                <w:highlight w:val="none"/>
              </w:rPr>
              <w:t>否</w:t>
            </w:r>
            <w:r>
              <w:rPr>
                <w:rFonts w:hint="eastAsia"/>
                <w:color w:val="auto"/>
                <w:sz w:val="22"/>
                <w:szCs w:val="22"/>
                <w:highlight w:val="none"/>
                <w:lang w:eastAsia="zh-CN"/>
              </w:rPr>
              <w:t>。</w:t>
            </w:r>
          </w:p>
        </w:tc>
      </w:tr>
    </w:tbl>
    <w:p>
      <w:pPr>
        <w:rPr>
          <w:color w:val="auto"/>
          <w:sz w:val="2"/>
          <w:szCs w:val="2"/>
          <w:highlight w:val="none"/>
        </w:rPr>
      </w:pPr>
    </w:p>
    <w:p>
      <w:pPr>
        <w:spacing w:after="0"/>
        <w:rPr>
          <w:color w:val="auto"/>
          <w:sz w:val="21"/>
          <w:highlight w:val="none"/>
        </w:rPr>
        <w:sectPr>
          <w:footerReference r:id="rId7" w:type="default"/>
          <w:pgSz w:w="11910" w:h="16840"/>
          <w:pgMar w:top="1400" w:right="600" w:bottom="1160" w:left="860" w:header="0" w:footer="979" w:gutter="0"/>
          <w:pgBorders>
            <w:top w:val="none" w:sz="0" w:space="0"/>
            <w:left w:val="none" w:sz="0" w:space="0"/>
            <w:bottom w:val="none" w:sz="0" w:space="0"/>
            <w:right w:val="none" w:sz="0" w:space="0"/>
          </w:pgBorders>
          <w:pgNumType w:fmt="decimal"/>
          <w:cols w:space="720" w:num="1"/>
        </w:sectPr>
      </w:pPr>
    </w:p>
    <w:p>
      <w:pPr>
        <w:numPr>
          <w:ilvl w:val="0"/>
          <w:numId w:val="8"/>
        </w:numPr>
        <w:bidi w:val="0"/>
        <w:rPr>
          <w:b/>
          <w:bCs/>
          <w:color w:val="auto"/>
          <w:sz w:val="24"/>
          <w:szCs w:val="24"/>
          <w:highlight w:val="none"/>
        </w:rPr>
      </w:pPr>
      <w:r>
        <w:rPr>
          <w:b/>
          <w:bCs/>
          <w:color w:val="auto"/>
          <w:sz w:val="24"/>
          <w:szCs w:val="24"/>
          <w:highlight w:val="none"/>
        </w:rPr>
        <w:t>总则</w:t>
      </w:r>
    </w:p>
    <w:p>
      <w:pPr>
        <w:numPr>
          <w:ilvl w:val="1"/>
          <w:numId w:val="8"/>
        </w:numPr>
        <w:bidi w:val="0"/>
        <w:rPr>
          <w:b/>
          <w:bCs/>
          <w:color w:val="auto"/>
          <w:sz w:val="24"/>
          <w:szCs w:val="24"/>
          <w:highlight w:val="none"/>
        </w:rPr>
      </w:pPr>
      <w:r>
        <w:rPr>
          <w:b/>
          <w:bCs/>
          <w:color w:val="auto"/>
          <w:sz w:val="24"/>
          <w:szCs w:val="24"/>
          <w:highlight w:val="none"/>
        </w:rPr>
        <w:t>项目概况</w:t>
      </w:r>
    </w:p>
    <w:p>
      <w:pPr>
        <w:pStyle w:val="28"/>
        <w:numPr>
          <w:ilvl w:val="2"/>
          <w:numId w:val="8"/>
        </w:numPr>
        <w:tabs>
          <w:tab w:val="left" w:pos="1931"/>
          <w:tab w:val="left" w:pos="1932"/>
        </w:tabs>
        <w:spacing w:before="179" w:after="0" w:line="417" w:lineRule="auto"/>
        <w:ind w:left="671" w:right="955" w:firstLine="420"/>
        <w:jc w:val="left"/>
        <w:rPr>
          <w:color w:val="auto"/>
          <w:highlight w:val="none"/>
        </w:rPr>
      </w:pPr>
      <w:r>
        <w:rPr>
          <w:color w:val="auto"/>
          <w:highlight w:val="none"/>
        </w:rPr>
        <w:t>根据《中华人民共和国招标投标法》等有关法律、规和规章的规定，本招标项目已具备招标条件，现对本标段施工进行招标。</w:t>
      </w:r>
    </w:p>
    <w:p>
      <w:pPr>
        <w:pStyle w:val="28"/>
        <w:numPr>
          <w:ilvl w:val="2"/>
          <w:numId w:val="8"/>
        </w:numPr>
        <w:tabs>
          <w:tab w:val="left" w:pos="1931"/>
          <w:tab w:val="left" w:pos="1932"/>
        </w:tabs>
        <w:spacing w:before="0" w:after="0" w:line="269" w:lineRule="exact"/>
        <w:ind w:left="1931" w:right="0" w:hanging="841"/>
        <w:jc w:val="left"/>
        <w:rPr>
          <w:color w:val="auto"/>
          <w:sz w:val="21"/>
          <w:highlight w:val="none"/>
        </w:rPr>
      </w:pPr>
      <w:r>
        <w:rPr>
          <w:color w:val="auto"/>
          <w:highlight w:val="none"/>
        </w:rPr>
        <w:t>本招标项目招标人：见投标人须知前附表</w:t>
      </w:r>
      <w:r>
        <w:rPr>
          <w:rFonts w:hint="eastAsia"/>
          <w:color w:val="auto"/>
          <w:highlight w:val="none"/>
          <w:lang w:eastAsia="zh-CN"/>
        </w:rPr>
        <w:t>。</w:t>
      </w:r>
    </w:p>
    <w:p>
      <w:pPr>
        <w:pStyle w:val="14"/>
        <w:spacing w:before="6"/>
        <w:rPr>
          <w:color w:val="auto"/>
          <w:sz w:val="15"/>
          <w:highlight w:val="none"/>
        </w:rPr>
      </w:pPr>
    </w:p>
    <w:p>
      <w:pPr>
        <w:pStyle w:val="28"/>
        <w:numPr>
          <w:ilvl w:val="2"/>
          <w:numId w:val="8"/>
        </w:numPr>
        <w:tabs>
          <w:tab w:val="left" w:pos="1931"/>
          <w:tab w:val="left" w:pos="1932"/>
        </w:tabs>
        <w:spacing w:before="1" w:after="0" w:line="240" w:lineRule="auto"/>
        <w:ind w:left="1931" w:right="0" w:hanging="841"/>
        <w:jc w:val="left"/>
        <w:rPr>
          <w:color w:val="auto"/>
          <w:sz w:val="21"/>
          <w:highlight w:val="none"/>
        </w:rPr>
      </w:pPr>
      <w:r>
        <w:rPr>
          <w:color w:val="auto"/>
          <w:highlight w:val="none"/>
        </w:rPr>
        <w:t>本标段招标代理机构：见投标人须知前附表。</w:t>
      </w:r>
    </w:p>
    <w:p>
      <w:pPr>
        <w:pStyle w:val="14"/>
        <w:spacing w:before="6"/>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sz w:val="21"/>
          <w:highlight w:val="none"/>
        </w:rPr>
      </w:pPr>
      <w:r>
        <w:rPr>
          <w:color w:val="auto"/>
          <w:highlight w:val="none"/>
        </w:rPr>
        <w:t>本招标</w:t>
      </w:r>
      <w:r>
        <w:rPr>
          <w:rFonts w:hint="eastAsia"/>
          <w:color w:val="auto"/>
          <w:highlight w:val="none"/>
          <w:lang w:eastAsia="zh-CN"/>
        </w:rPr>
        <w:t>工程名称</w:t>
      </w:r>
      <w:r>
        <w:rPr>
          <w:color w:val="auto"/>
          <w:highlight w:val="none"/>
        </w:rPr>
        <w:t>：见投标人须知前附表。</w:t>
      </w:r>
    </w:p>
    <w:p>
      <w:pPr>
        <w:pStyle w:val="28"/>
        <w:numPr>
          <w:ilvl w:val="2"/>
          <w:numId w:val="8"/>
        </w:numPr>
        <w:tabs>
          <w:tab w:val="left" w:pos="1931"/>
          <w:tab w:val="left" w:pos="1932"/>
        </w:tabs>
        <w:spacing w:before="0" w:after="0" w:line="240" w:lineRule="auto"/>
        <w:ind w:left="1931" w:right="0" w:hanging="841"/>
        <w:jc w:val="left"/>
        <w:rPr>
          <w:color w:val="auto"/>
          <w:sz w:val="21"/>
          <w:highlight w:val="none"/>
        </w:rPr>
      </w:pPr>
      <w:r>
        <w:rPr>
          <w:color w:val="auto"/>
          <w:highlight w:val="none"/>
        </w:rPr>
        <w:t>本招标项目</w:t>
      </w:r>
      <w:r>
        <w:rPr>
          <w:rFonts w:hint="eastAsia"/>
          <w:color w:val="auto"/>
          <w:highlight w:val="none"/>
          <w:lang w:val="en-US" w:eastAsia="zh-CN"/>
        </w:rPr>
        <w:t>编号</w:t>
      </w:r>
      <w:r>
        <w:rPr>
          <w:color w:val="auto"/>
          <w:highlight w:val="none"/>
        </w:rPr>
        <w:t>：见投标人须知前附表</w:t>
      </w:r>
    </w:p>
    <w:p>
      <w:pPr>
        <w:pStyle w:val="14"/>
        <w:spacing w:before="7"/>
        <w:rPr>
          <w:color w:val="auto"/>
          <w:sz w:val="15"/>
          <w:highlight w:val="none"/>
        </w:rPr>
      </w:pPr>
      <w:bookmarkStart w:id="595" w:name="_GoBack"/>
      <w:bookmarkEnd w:id="595"/>
    </w:p>
    <w:p>
      <w:pPr>
        <w:pStyle w:val="28"/>
        <w:numPr>
          <w:ilvl w:val="2"/>
          <w:numId w:val="8"/>
        </w:numPr>
        <w:tabs>
          <w:tab w:val="left" w:pos="1931"/>
          <w:tab w:val="left" w:pos="1932"/>
        </w:tabs>
        <w:spacing w:before="0" w:after="0" w:line="240" w:lineRule="auto"/>
        <w:ind w:left="1931" w:right="0" w:hanging="841"/>
        <w:jc w:val="left"/>
        <w:rPr>
          <w:color w:val="auto"/>
          <w:highlight w:val="none"/>
        </w:rPr>
      </w:pPr>
      <w:r>
        <w:rPr>
          <w:color w:val="auto"/>
          <w:highlight w:val="none"/>
        </w:rPr>
        <w:t>本标段建设地点：见投标人须知前附表。</w:t>
      </w:r>
    </w:p>
    <w:p>
      <w:pPr>
        <w:pStyle w:val="14"/>
        <w:spacing w:before="1"/>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资金来源和落实情况</w:t>
      </w:r>
    </w:p>
    <w:p>
      <w:pPr>
        <w:pStyle w:val="28"/>
        <w:numPr>
          <w:ilvl w:val="2"/>
          <w:numId w:val="8"/>
        </w:numPr>
        <w:tabs>
          <w:tab w:val="left" w:pos="1931"/>
          <w:tab w:val="left" w:pos="1932"/>
        </w:tabs>
        <w:spacing w:before="178" w:after="0" w:line="240" w:lineRule="auto"/>
        <w:ind w:left="1931" w:right="0" w:hanging="841"/>
        <w:jc w:val="left"/>
        <w:rPr>
          <w:color w:val="auto"/>
          <w:sz w:val="21"/>
          <w:highlight w:val="none"/>
        </w:rPr>
      </w:pPr>
      <w:r>
        <w:rPr>
          <w:color w:val="auto"/>
          <w:highlight w:val="none"/>
        </w:rPr>
        <w:t>本招标项目的资金来源：见投标人须知前附表。</w:t>
      </w:r>
    </w:p>
    <w:p>
      <w:pPr>
        <w:pStyle w:val="14"/>
        <w:spacing w:before="7"/>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sz w:val="21"/>
          <w:highlight w:val="none"/>
        </w:rPr>
      </w:pPr>
      <w:r>
        <w:rPr>
          <w:color w:val="auto"/>
          <w:highlight w:val="none"/>
        </w:rPr>
        <w:t>本招标项目的出资比例：见投标人须知前附表。</w:t>
      </w:r>
    </w:p>
    <w:p>
      <w:pPr>
        <w:pStyle w:val="14"/>
        <w:spacing w:before="6"/>
        <w:rPr>
          <w:color w:val="auto"/>
          <w:sz w:val="15"/>
          <w:highlight w:val="none"/>
        </w:rPr>
      </w:pPr>
    </w:p>
    <w:p>
      <w:pPr>
        <w:pStyle w:val="28"/>
        <w:numPr>
          <w:ilvl w:val="2"/>
          <w:numId w:val="8"/>
        </w:numPr>
        <w:tabs>
          <w:tab w:val="left" w:pos="1931"/>
          <w:tab w:val="left" w:pos="1932"/>
        </w:tabs>
        <w:spacing w:before="1" w:after="0" w:line="240" w:lineRule="auto"/>
        <w:ind w:left="1931" w:right="0" w:hanging="841"/>
        <w:jc w:val="left"/>
        <w:rPr>
          <w:color w:val="auto"/>
          <w:highlight w:val="none"/>
        </w:rPr>
      </w:pPr>
      <w:r>
        <w:rPr>
          <w:color w:val="auto"/>
          <w:highlight w:val="none"/>
        </w:rPr>
        <w:t>本招标项目的资金落实情况：见投标人须知前附表。</w:t>
      </w:r>
    </w:p>
    <w:p>
      <w:pPr>
        <w:pStyle w:val="14"/>
        <w:spacing w:before="1"/>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招标范围、计划工期和质量要求</w:t>
      </w:r>
    </w:p>
    <w:p>
      <w:pPr>
        <w:pStyle w:val="28"/>
        <w:numPr>
          <w:ilvl w:val="2"/>
          <w:numId w:val="8"/>
        </w:numPr>
        <w:tabs>
          <w:tab w:val="left" w:pos="1931"/>
          <w:tab w:val="left" w:pos="1932"/>
        </w:tabs>
        <w:spacing w:before="179" w:after="0" w:line="240" w:lineRule="auto"/>
        <w:ind w:left="1931" w:right="0" w:hanging="841"/>
        <w:jc w:val="left"/>
        <w:rPr>
          <w:color w:val="auto"/>
          <w:highlight w:val="none"/>
        </w:rPr>
      </w:pPr>
      <w:r>
        <w:rPr>
          <w:color w:val="auto"/>
          <w:highlight w:val="none"/>
        </w:rPr>
        <w:t>本次招标范围：见投标人须知前附表。</w:t>
      </w:r>
    </w:p>
    <w:p>
      <w:pPr>
        <w:pStyle w:val="14"/>
        <w:spacing w:before="6"/>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highlight w:val="none"/>
        </w:rPr>
      </w:pPr>
      <w:r>
        <w:rPr>
          <w:color w:val="auto"/>
          <w:highlight w:val="none"/>
        </w:rPr>
        <w:t>本标段的计划工期：见投标人须知前附表。</w:t>
      </w:r>
    </w:p>
    <w:p>
      <w:pPr>
        <w:pStyle w:val="14"/>
        <w:spacing w:before="7"/>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highlight w:val="none"/>
        </w:rPr>
      </w:pPr>
      <w:r>
        <w:rPr>
          <w:color w:val="auto"/>
          <w:highlight w:val="none"/>
        </w:rPr>
        <w:t>本标段的质量要求：见投标人须知前附表。</w:t>
      </w:r>
    </w:p>
    <w:p>
      <w:pPr>
        <w:pStyle w:val="14"/>
        <w:spacing w:before="2"/>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投标人资格要求（适用于未进行资格预审的）</w:t>
      </w:r>
    </w:p>
    <w:p>
      <w:pPr>
        <w:pStyle w:val="28"/>
        <w:numPr>
          <w:ilvl w:val="2"/>
          <w:numId w:val="8"/>
        </w:numPr>
        <w:tabs>
          <w:tab w:val="left" w:pos="1931"/>
          <w:tab w:val="left" w:pos="1932"/>
        </w:tabs>
        <w:spacing w:before="178" w:after="0" w:line="240" w:lineRule="auto"/>
        <w:ind w:left="1931" w:right="0" w:hanging="841"/>
        <w:jc w:val="left"/>
        <w:rPr>
          <w:color w:val="auto"/>
          <w:sz w:val="21"/>
          <w:highlight w:val="none"/>
        </w:rPr>
      </w:pPr>
      <w:r>
        <w:rPr>
          <w:color w:val="auto"/>
          <w:highlight w:val="none"/>
        </w:rPr>
        <w:t>投标人应具备承担本标段施工的资质条件、能力和信誉</w:t>
      </w:r>
      <w:r>
        <w:rPr>
          <w:rFonts w:hint="eastAsia"/>
          <w:color w:val="auto"/>
          <w:highlight w:val="none"/>
          <w:lang w:eastAsia="zh-CN"/>
        </w:rPr>
        <w:t>。</w:t>
      </w:r>
    </w:p>
    <w:p>
      <w:pPr>
        <w:pStyle w:val="14"/>
        <w:spacing w:before="7"/>
        <w:rPr>
          <w:color w:val="auto"/>
          <w:sz w:val="15"/>
          <w:highlight w:val="none"/>
        </w:rPr>
      </w:pPr>
    </w:p>
    <w:p>
      <w:pPr>
        <w:pStyle w:val="28"/>
        <w:numPr>
          <w:ilvl w:val="0"/>
          <w:numId w:val="9"/>
        </w:numPr>
        <w:tabs>
          <w:tab w:val="left" w:pos="1616"/>
        </w:tabs>
        <w:spacing w:before="0" w:after="0" w:line="240" w:lineRule="auto"/>
        <w:ind w:left="1615" w:right="0" w:hanging="525"/>
        <w:jc w:val="left"/>
        <w:rPr>
          <w:color w:val="auto"/>
          <w:sz w:val="21"/>
          <w:highlight w:val="none"/>
        </w:rPr>
      </w:pPr>
      <w:r>
        <w:rPr>
          <w:color w:val="auto"/>
          <w:highlight w:val="none"/>
        </w:rPr>
        <w:t>资质条件：见投标人须知前附表；</w:t>
      </w:r>
    </w:p>
    <w:p>
      <w:pPr>
        <w:pStyle w:val="14"/>
        <w:spacing w:before="7"/>
        <w:rPr>
          <w:color w:val="auto"/>
          <w:sz w:val="15"/>
          <w:highlight w:val="none"/>
        </w:rPr>
      </w:pPr>
    </w:p>
    <w:p>
      <w:pPr>
        <w:pStyle w:val="28"/>
        <w:numPr>
          <w:ilvl w:val="0"/>
          <w:numId w:val="9"/>
        </w:numPr>
        <w:tabs>
          <w:tab w:val="left" w:pos="1616"/>
        </w:tabs>
        <w:spacing w:before="0" w:after="0" w:line="240" w:lineRule="auto"/>
        <w:ind w:left="1615" w:right="0" w:hanging="525"/>
        <w:jc w:val="left"/>
        <w:rPr>
          <w:color w:val="auto"/>
          <w:highlight w:val="none"/>
        </w:rPr>
      </w:pPr>
      <w:r>
        <w:rPr>
          <w:color w:val="auto"/>
          <w:highlight w:val="none"/>
        </w:rPr>
        <w:t>财务要求：见投标人须知前附表；</w:t>
      </w:r>
    </w:p>
    <w:p>
      <w:pPr>
        <w:pStyle w:val="14"/>
        <w:spacing w:before="6"/>
        <w:rPr>
          <w:color w:val="auto"/>
          <w:sz w:val="15"/>
          <w:highlight w:val="none"/>
        </w:rPr>
      </w:pPr>
    </w:p>
    <w:p>
      <w:pPr>
        <w:pStyle w:val="28"/>
        <w:numPr>
          <w:ilvl w:val="0"/>
          <w:numId w:val="9"/>
        </w:numPr>
        <w:tabs>
          <w:tab w:val="left" w:pos="1616"/>
        </w:tabs>
        <w:spacing w:before="1" w:after="0" w:line="240" w:lineRule="auto"/>
        <w:ind w:left="1615" w:right="0" w:hanging="525"/>
        <w:jc w:val="left"/>
        <w:rPr>
          <w:color w:val="auto"/>
          <w:sz w:val="21"/>
          <w:highlight w:val="none"/>
        </w:rPr>
      </w:pPr>
      <w:r>
        <w:rPr>
          <w:color w:val="auto"/>
          <w:highlight w:val="none"/>
        </w:rPr>
        <w:t>业绩要求：见投标人须知前附表；</w:t>
      </w:r>
    </w:p>
    <w:p>
      <w:pPr>
        <w:pStyle w:val="14"/>
        <w:spacing w:before="6"/>
        <w:rPr>
          <w:color w:val="auto"/>
          <w:sz w:val="15"/>
          <w:highlight w:val="none"/>
        </w:rPr>
      </w:pPr>
    </w:p>
    <w:p>
      <w:pPr>
        <w:pStyle w:val="28"/>
        <w:numPr>
          <w:ilvl w:val="0"/>
          <w:numId w:val="9"/>
        </w:numPr>
        <w:tabs>
          <w:tab w:val="left" w:pos="1616"/>
        </w:tabs>
        <w:spacing w:before="0" w:after="0" w:line="240" w:lineRule="auto"/>
        <w:ind w:left="1615" w:right="0" w:hanging="525"/>
        <w:jc w:val="left"/>
        <w:rPr>
          <w:color w:val="auto"/>
          <w:sz w:val="21"/>
          <w:highlight w:val="none"/>
        </w:rPr>
      </w:pPr>
      <w:r>
        <w:rPr>
          <w:color w:val="auto"/>
          <w:highlight w:val="none"/>
        </w:rPr>
        <w:t>信誉要求：见投标人须知前附表；</w:t>
      </w:r>
    </w:p>
    <w:p>
      <w:pPr>
        <w:pStyle w:val="14"/>
        <w:spacing w:before="7"/>
        <w:rPr>
          <w:color w:val="auto"/>
          <w:sz w:val="15"/>
          <w:highlight w:val="none"/>
        </w:rPr>
      </w:pPr>
    </w:p>
    <w:p>
      <w:pPr>
        <w:pStyle w:val="28"/>
        <w:numPr>
          <w:ilvl w:val="0"/>
          <w:numId w:val="9"/>
        </w:numPr>
        <w:tabs>
          <w:tab w:val="left" w:pos="1616"/>
        </w:tabs>
        <w:spacing w:before="0" w:after="0" w:line="240" w:lineRule="auto"/>
        <w:ind w:left="1615" w:right="0" w:hanging="525"/>
        <w:jc w:val="left"/>
        <w:rPr>
          <w:color w:val="auto"/>
          <w:highlight w:val="none"/>
        </w:rPr>
      </w:pPr>
      <w:r>
        <w:rPr>
          <w:color w:val="auto"/>
          <w:highlight w:val="none"/>
        </w:rPr>
        <w:t>项目负责人资格：见投标人须知前附表；</w:t>
      </w:r>
    </w:p>
    <w:p>
      <w:pPr>
        <w:pStyle w:val="14"/>
        <w:spacing w:before="7"/>
        <w:rPr>
          <w:color w:val="auto"/>
          <w:sz w:val="15"/>
          <w:highlight w:val="none"/>
        </w:rPr>
      </w:pPr>
    </w:p>
    <w:p>
      <w:pPr>
        <w:pStyle w:val="28"/>
        <w:numPr>
          <w:ilvl w:val="0"/>
          <w:numId w:val="9"/>
        </w:numPr>
        <w:tabs>
          <w:tab w:val="left" w:pos="1616"/>
        </w:tabs>
        <w:spacing w:before="0" w:after="0" w:line="240" w:lineRule="auto"/>
        <w:ind w:left="1615" w:right="0" w:hanging="525"/>
        <w:jc w:val="left"/>
        <w:rPr>
          <w:color w:val="auto"/>
          <w:sz w:val="21"/>
          <w:highlight w:val="none"/>
        </w:rPr>
      </w:pPr>
      <w:r>
        <w:rPr>
          <w:color w:val="auto"/>
          <w:sz w:val="21"/>
          <w:highlight w:val="none"/>
        </w:rPr>
        <w:t>其他要求：见投标人须知前附表。</w:t>
      </w:r>
    </w:p>
    <w:p>
      <w:pPr>
        <w:pStyle w:val="14"/>
        <w:spacing w:before="6"/>
        <w:rPr>
          <w:color w:val="auto"/>
          <w:sz w:val="15"/>
          <w:highlight w:val="none"/>
        </w:rPr>
      </w:pPr>
    </w:p>
    <w:p>
      <w:pPr>
        <w:pStyle w:val="28"/>
        <w:numPr>
          <w:ilvl w:val="2"/>
          <w:numId w:val="8"/>
        </w:numPr>
        <w:tabs>
          <w:tab w:val="left" w:pos="1720"/>
        </w:tabs>
        <w:spacing w:before="1" w:after="0" w:line="417" w:lineRule="auto"/>
        <w:ind w:left="671" w:right="955" w:firstLine="420"/>
        <w:jc w:val="left"/>
        <w:rPr>
          <w:color w:val="auto"/>
          <w:highlight w:val="none"/>
        </w:rPr>
      </w:pPr>
      <w:r>
        <w:rPr>
          <w:color w:val="auto"/>
          <w:highlight w:val="none"/>
        </w:rPr>
        <w:t>投标人须知前附表规定接受联合体投标的，除应符合本章第1.4.1项和投标人须知前附表的要求外，还应遵守以下规定：</w:t>
      </w:r>
    </w:p>
    <w:p>
      <w:pPr>
        <w:pStyle w:val="14"/>
        <w:spacing w:line="417" w:lineRule="auto"/>
        <w:ind w:left="671" w:right="955" w:firstLine="420"/>
        <w:rPr>
          <w:color w:val="auto"/>
          <w:highlight w:val="none"/>
        </w:rPr>
      </w:pPr>
      <w:r>
        <w:rPr>
          <w:color w:val="auto"/>
          <w:w w:val="95"/>
          <w:highlight w:val="none"/>
        </w:rPr>
        <w:t>(1）</w:t>
      </w:r>
      <w:r>
        <w:rPr>
          <w:color w:val="auto"/>
          <w:highlight w:val="none"/>
        </w:rPr>
        <w:t>联合体各方应按招标文件提供的格式签订联合体协议书，明确联合体牵头人和各方权利义务；</w:t>
      </w:r>
    </w:p>
    <w:p>
      <w:pPr>
        <w:spacing w:after="0" w:line="417" w:lineRule="auto"/>
        <w:rPr>
          <w:color w:val="auto"/>
          <w:highlight w:val="none"/>
        </w:rPr>
        <w:sectPr>
          <w:pgSz w:w="11910" w:h="16840"/>
          <w:pgMar w:top="1580" w:right="600" w:bottom="1160" w:left="860" w:header="0" w:footer="979" w:gutter="0"/>
          <w:pgBorders>
            <w:top w:val="none" w:sz="0" w:space="0"/>
            <w:left w:val="none" w:sz="0" w:space="0"/>
            <w:bottom w:val="none" w:sz="0" w:space="0"/>
            <w:right w:val="none" w:sz="0" w:space="0"/>
          </w:pgBorders>
          <w:pgNumType w:fmt="decimal"/>
          <w:cols w:space="720" w:num="1"/>
        </w:sectPr>
      </w:pPr>
    </w:p>
    <w:p>
      <w:pPr>
        <w:pStyle w:val="14"/>
        <w:spacing w:before="58" w:line="417" w:lineRule="auto"/>
        <w:ind w:left="1091" w:right="2006"/>
        <w:rPr>
          <w:color w:val="auto"/>
          <w:highlight w:val="none"/>
        </w:rPr>
      </w:pPr>
      <w:r>
        <w:rPr>
          <w:color w:val="auto"/>
          <w:w w:val="95"/>
          <w:highlight w:val="none"/>
        </w:rPr>
        <w:t>(2）</w:t>
      </w:r>
      <w:r>
        <w:rPr>
          <w:color w:val="auto"/>
          <w:highlight w:val="none"/>
        </w:rPr>
        <w:t>由同一专业的单位组成的联合体，按照资质等级较低的单位确定资质等级； (3）联合体各方不得再以自己名义单独或参加其他联合体在同一标段中投标。</w:t>
      </w:r>
    </w:p>
    <w:p>
      <w:pPr>
        <w:pStyle w:val="28"/>
        <w:numPr>
          <w:ilvl w:val="2"/>
          <w:numId w:val="8"/>
        </w:numPr>
        <w:tabs>
          <w:tab w:val="left" w:pos="1931"/>
          <w:tab w:val="left" w:pos="1932"/>
        </w:tabs>
        <w:spacing w:before="0" w:after="0" w:line="269" w:lineRule="exact"/>
        <w:ind w:left="1931" w:right="0" w:hanging="841"/>
        <w:jc w:val="left"/>
        <w:rPr>
          <w:color w:val="auto"/>
          <w:sz w:val="21"/>
          <w:highlight w:val="none"/>
        </w:rPr>
      </w:pPr>
      <w:r>
        <w:rPr>
          <w:color w:val="auto"/>
          <w:highlight w:val="none"/>
        </w:rPr>
        <w:t>投标人不得存在下列情形之一：</w:t>
      </w:r>
    </w:p>
    <w:p>
      <w:pPr>
        <w:pStyle w:val="14"/>
        <w:spacing w:before="7"/>
        <w:rPr>
          <w:color w:val="auto"/>
          <w:sz w:val="15"/>
          <w:highlight w:val="none"/>
        </w:rPr>
      </w:pPr>
    </w:p>
    <w:p>
      <w:pPr>
        <w:pStyle w:val="28"/>
        <w:numPr>
          <w:ilvl w:val="0"/>
          <w:numId w:val="10"/>
        </w:numPr>
        <w:tabs>
          <w:tab w:val="left" w:pos="1616"/>
        </w:tabs>
        <w:spacing w:before="0" w:after="0" w:line="240" w:lineRule="auto"/>
        <w:ind w:left="1615" w:right="0" w:hanging="525"/>
        <w:jc w:val="left"/>
        <w:rPr>
          <w:color w:val="auto"/>
          <w:sz w:val="21"/>
          <w:highlight w:val="none"/>
        </w:rPr>
      </w:pPr>
      <w:r>
        <w:rPr>
          <w:color w:val="auto"/>
          <w:highlight w:val="none"/>
        </w:rPr>
        <w:t>为招标人不具有独立法人资格的附属机构（单位</w:t>
      </w:r>
      <w:r>
        <w:rPr>
          <w:rStyle w:val="25"/>
          <w:color w:val="auto"/>
          <w:highlight w:val="none"/>
        </w:rPr>
        <w:t>）；</w:t>
      </w:r>
    </w:p>
    <w:p>
      <w:pPr>
        <w:pStyle w:val="14"/>
        <w:spacing w:before="7"/>
        <w:rPr>
          <w:color w:val="auto"/>
          <w:sz w:val="15"/>
          <w:highlight w:val="none"/>
        </w:rPr>
      </w:pPr>
    </w:p>
    <w:p>
      <w:pPr>
        <w:numPr>
          <w:ilvl w:val="0"/>
          <w:numId w:val="10"/>
        </w:numPr>
        <w:bidi w:val="0"/>
        <w:rPr>
          <w:color w:val="auto"/>
          <w:highlight w:val="none"/>
        </w:rPr>
      </w:pPr>
      <w:r>
        <w:rPr>
          <w:color w:val="auto"/>
          <w:highlight w:val="none"/>
        </w:rPr>
        <w:t>为本标段前期准备提供设计或咨询服务的，但设计施工总承包的除外；</w:t>
      </w:r>
    </w:p>
    <w:p>
      <w:pPr>
        <w:pStyle w:val="14"/>
        <w:spacing w:before="6"/>
        <w:rPr>
          <w:color w:val="auto"/>
          <w:sz w:val="15"/>
          <w:highlight w:val="none"/>
        </w:rPr>
      </w:pPr>
    </w:p>
    <w:p>
      <w:pPr>
        <w:numPr>
          <w:ilvl w:val="0"/>
          <w:numId w:val="10"/>
        </w:numPr>
        <w:bidi w:val="0"/>
        <w:rPr>
          <w:color w:val="auto"/>
          <w:highlight w:val="none"/>
        </w:rPr>
      </w:pPr>
      <w:r>
        <w:rPr>
          <w:color w:val="auto"/>
          <w:highlight w:val="none"/>
        </w:rPr>
        <w:t>为本标段的监理人；</w:t>
      </w:r>
    </w:p>
    <w:p>
      <w:pPr>
        <w:pStyle w:val="14"/>
        <w:spacing w:before="6"/>
        <w:rPr>
          <w:color w:val="auto"/>
          <w:sz w:val="15"/>
          <w:highlight w:val="none"/>
        </w:rPr>
      </w:pPr>
    </w:p>
    <w:p>
      <w:pPr>
        <w:numPr>
          <w:ilvl w:val="0"/>
          <w:numId w:val="10"/>
        </w:numPr>
        <w:bidi w:val="0"/>
        <w:rPr>
          <w:color w:val="auto"/>
          <w:highlight w:val="none"/>
        </w:rPr>
      </w:pPr>
      <w:r>
        <w:rPr>
          <w:color w:val="auto"/>
          <w:highlight w:val="none"/>
        </w:rPr>
        <w:t>为本标段的代建人；</w:t>
      </w:r>
    </w:p>
    <w:p>
      <w:pPr>
        <w:pStyle w:val="14"/>
        <w:spacing w:before="7"/>
        <w:rPr>
          <w:color w:val="auto"/>
          <w:sz w:val="15"/>
          <w:highlight w:val="none"/>
        </w:rPr>
      </w:pPr>
    </w:p>
    <w:p>
      <w:pPr>
        <w:numPr>
          <w:ilvl w:val="0"/>
          <w:numId w:val="10"/>
        </w:numPr>
        <w:bidi w:val="0"/>
        <w:rPr>
          <w:color w:val="auto"/>
          <w:highlight w:val="none"/>
        </w:rPr>
      </w:pPr>
      <w:r>
        <w:rPr>
          <w:color w:val="auto"/>
          <w:highlight w:val="none"/>
        </w:rPr>
        <w:t>为本标段提供招标代理服务的；</w:t>
      </w:r>
    </w:p>
    <w:p>
      <w:pPr>
        <w:pStyle w:val="14"/>
        <w:spacing w:before="7"/>
        <w:rPr>
          <w:color w:val="auto"/>
          <w:sz w:val="15"/>
          <w:highlight w:val="none"/>
        </w:rPr>
      </w:pPr>
    </w:p>
    <w:p>
      <w:pPr>
        <w:numPr>
          <w:ilvl w:val="0"/>
          <w:numId w:val="10"/>
        </w:numPr>
        <w:bidi w:val="0"/>
        <w:rPr>
          <w:color w:val="auto"/>
          <w:highlight w:val="none"/>
        </w:rPr>
      </w:pPr>
      <w:r>
        <w:rPr>
          <w:color w:val="auto"/>
          <w:highlight w:val="none"/>
        </w:rPr>
        <w:t>与本标段的监理人或代建人或招标代理机构同为一个法定代表人的；</w:t>
      </w:r>
    </w:p>
    <w:p>
      <w:pPr>
        <w:pStyle w:val="14"/>
        <w:spacing w:before="6"/>
        <w:rPr>
          <w:color w:val="auto"/>
          <w:sz w:val="15"/>
          <w:highlight w:val="none"/>
        </w:rPr>
      </w:pPr>
    </w:p>
    <w:p>
      <w:pPr>
        <w:numPr>
          <w:ilvl w:val="0"/>
          <w:numId w:val="10"/>
        </w:numPr>
        <w:bidi w:val="0"/>
        <w:rPr>
          <w:color w:val="auto"/>
          <w:highlight w:val="none"/>
          <w:lang w:val="zh-CN" w:eastAsia="zh-CN"/>
        </w:rPr>
      </w:pPr>
      <w:r>
        <w:rPr>
          <w:color w:val="auto"/>
          <w:highlight w:val="none"/>
          <w:lang w:val="zh-CN" w:eastAsia="zh-CN"/>
        </w:rPr>
        <w:t>与本标段的监理人或代建人或招标代理机构相互控股或参股的；</w:t>
      </w:r>
    </w:p>
    <w:p>
      <w:pPr>
        <w:pStyle w:val="14"/>
        <w:spacing w:before="6"/>
        <w:rPr>
          <w:color w:val="auto"/>
          <w:sz w:val="15"/>
          <w:highlight w:val="none"/>
        </w:rPr>
      </w:pPr>
    </w:p>
    <w:p>
      <w:pPr>
        <w:numPr>
          <w:ilvl w:val="0"/>
          <w:numId w:val="10"/>
        </w:numPr>
        <w:bidi w:val="0"/>
        <w:rPr>
          <w:color w:val="auto"/>
          <w:highlight w:val="none"/>
          <w:lang w:val="zh-CN" w:eastAsia="zh-CN"/>
        </w:rPr>
      </w:pPr>
      <w:r>
        <w:rPr>
          <w:color w:val="auto"/>
          <w:highlight w:val="none"/>
          <w:lang w:val="zh-CN" w:eastAsia="zh-CN"/>
        </w:rPr>
        <w:t>与本标段的监理人或代建人或招标代理机构相互任职或工作的；</w:t>
      </w:r>
    </w:p>
    <w:p>
      <w:pPr>
        <w:pStyle w:val="14"/>
        <w:spacing w:before="7"/>
        <w:rPr>
          <w:color w:val="auto"/>
          <w:sz w:val="15"/>
          <w:highlight w:val="none"/>
        </w:rPr>
      </w:pPr>
    </w:p>
    <w:p>
      <w:pPr>
        <w:pStyle w:val="28"/>
        <w:numPr>
          <w:ilvl w:val="0"/>
          <w:numId w:val="10"/>
        </w:numPr>
        <w:tabs>
          <w:tab w:val="left" w:pos="1616"/>
        </w:tabs>
        <w:spacing w:before="0" w:after="0" w:line="240" w:lineRule="auto"/>
        <w:ind w:left="1615" w:right="0" w:hanging="525"/>
        <w:jc w:val="left"/>
        <w:rPr>
          <w:rFonts w:ascii="宋体" w:hAnsi="宋体" w:eastAsia="宋体" w:cs="宋体"/>
          <w:color w:val="auto"/>
          <w:sz w:val="22"/>
          <w:szCs w:val="22"/>
          <w:highlight w:val="none"/>
          <w:lang w:val="zh-CN" w:eastAsia="zh-CN" w:bidi="zh-CN"/>
        </w:rPr>
      </w:pPr>
      <w:r>
        <w:rPr>
          <w:color w:val="auto"/>
          <w:highlight w:val="none"/>
          <w:lang w:val="zh-CN" w:eastAsia="zh-CN"/>
        </w:rPr>
        <w:t>被责令停业的</w:t>
      </w:r>
      <w:r>
        <w:rPr>
          <w:rFonts w:ascii="宋体" w:hAnsi="宋体" w:eastAsia="宋体" w:cs="宋体"/>
          <w:color w:val="auto"/>
          <w:sz w:val="22"/>
          <w:szCs w:val="22"/>
          <w:highlight w:val="none"/>
          <w:lang w:val="zh-CN" w:eastAsia="zh-CN" w:bidi="zh-CN"/>
        </w:rPr>
        <w:t>；</w:t>
      </w:r>
    </w:p>
    <w:p>
      <w:pPr>
        <w:pStyle w:val="14"/>
        <w:spacing w:before="7"/>
        <w:rPr>
          <w:color w:val="auto"/>
          <w:sz w:val="15"/>
          <w:highlight w:val="none"/>
        </w:rPr>
      </w:pPr>
    </w:p>
    <w:p>
      <w:pPr>
        <w:pStyle w:val="28"/>
        <w:numPr>
          <w:ilvl w:val="0"/>
          <w:numId w:val="10"/>
        </w:numPr>
        <w:tabs>
          <w:tab w:val="left" w:pos="1722"/>
        </w:tabs>
        <w:spacing w:before="0" w:after="0" w:line="240" w:lineRule="auto"/>
        <w:ind w:left="1721" w:right="0" w:hanging="631"/>
        <w:jc w:val="left"/>
        <w:rPr>
          <w:color w:val="auto"/>
          <w:highlight w:val="none"/>
        </w:rPr>
      </w:pPr>
      <w:r>
        <w:rPr>
          <w:color w:val="auto"/>
          <w:highlight w:val="none"/>
          <w:lang w:val="zh-CN" w:eastAsia="zh-CN"/>
        </w:rPr>
        <w:t>被暂停或取消投标资格的；</w:t>
      </w:r>
    </w:p>
    <w:p>
      <w:pPr>
        <w:pStyle w:val="14"/>
        <w:spacing w:before="6"/>
        <w:rPr>
          <w:color w:val="auto"/>
          <w:sz w:val="15"/>
          <w:highlight w:val="none"/>
        </w:rPr>
      </w:pPr>
    </w:p>
    <w:p>
      <w:pPr>
        <w:pStyle w:val="28"/>
        <w:numPr>
          <w:ilvl w:val="0"/>
          <w:numId w:val="10"/>
        </w:numPr>
        <w:tabs>
          <w:tab w:val="left" w:pos="1722"/>
        </w:tabs>
        <w:spacing w:before="1" w:after="0" w:line="240" w:lineRule="auto"/>
        <w:ind w:left="1721" w:right="0" w:hanging="631"/>
        <w:jc w:val="left"/>
        <w:rPr>
          <w:rFonts w:ascii="宋体" w:hAnsi="宋体" w:eastAsia="宋体" w:cs="宋体"/>
          <w:color w:val="auto"/>
          <w:sz w:val="22"/>
          <w:szCs w:val="22"/>
          <w:highlight w:val="none"/>
          <w:lang w:val="zh-CN" w:eastAsia="zh-CN" w:bidi="zh-CN"/>
        </w:rPr>
      </w:pPr>
      <w:r>
        <w:rPr>
          <w:color w:val="auto"/>
          <w:highlight w:val="none"/>
          <w:lang w:val="zh-CN" w:eastAsia="zh-CN"/>
        </w:rPr>
        <w:t>财产被接管或冻结的；</w:t>
      </w:r>
    </w:p>
    <w:p>
      <w:pPr>
        <w:pStyle w:val="14"/>
        <w:spacing w:before="6"/>
        <w:rPr>
          <w:color w:val="auto"/>
          <w:sz w:val="15"/>
          <w:highlight w:val="none"/>
        </w:rPr>
      </w:pPr>
    </w:p>
    <w:p>
      <w:pPr>
        <w:pStyle w:val="28"/>
        <w:numPr>
          <w:ilvl w:val="0"/>
          <w:numId w:val="10"/>
        </w:numPr>
        <w:tabs>
          <w:tab w:val="left" w:pos="1722"/>
        </w:tabs>
        <w:spacing w:before="0" w:after="0" w:line="240" w:lineRule="auto"/>
        <w:ind w:left="1721" w:right="0" w:hanging="631"/>
        <w:jc w:val="left"/>
        <w:rPr>
          <w:rFonts w:ascii="宋体" w:hAnsi="宋体" w:eastAsia="宋体" w:cs="宋体"/>
          <w:color w:val="auto"/>
          <w:sz w:val="22"/>
          <w:szCs w:val="22"/>
          <w:highlight w:val="none"/>
          <w:lang w:val="zh-CN" w:eastAsia="zh-CN" w:bidi="zh-CN"/>
        </w:rPr>
      </w:pPr>
      <w:r>
        <w:rPr>
          <w:rFonts w:ascii="宋体" w:hAnsi="宋体" w:eastAsia="宋体" w:cs="宋体"/>
          <w:color w:val="auto"/>
          <w:sz w:val="22"/>
          <w:szCs w:val="22"/>
          <w:highlight w:val="none"/>
          <w:lang w:val="zh-CN" w:eastAsia="zh-CN" w:bidi="zh-CN"/>
        </w:rPr>
        <w:t>被列入失信被执行人黑名单；</w:t>
      </w:r>
    </w:p>
    <w:p>
      <w:pPr>
        <w:pStyle w:val="14"/>
        <w:spacing w:before="7"/>
        <w:rPr>
          <w:color w:val="auto"/>
          <w:sz w:val="15"/>
          <w:highlight w:val="none"/>
        </w:rPr>
      </w:pPr>
    </w:p>
    <w:p>
      <w:pPr>
        <w:pStyle w:val="28"/>
        <w:numPr>
          <w:ilvl w:val="0"/>
          <w:numId w:val="10"/>
        </w:numPr>
        <w:tabs>
          <w:tab w:val="left" w:pos="1826"/>
        </w:tabs>
        <w:spacing w:before="0" w:after="0" w:line="417" w:lineRule="auto"/>
        <w:ind w:left="671" w:right="956" w:firstLine="420"/>
        <w:jc w:val="both"/>
        <w:rPr>
          <w:rFonts w:ascii="宋体" w:hAnsi="宋体" w:eastAsia="宋体" w:cs="宋体"/>
          <w:color w:val="auto"/>
          <w:sz w:val="22"/>
          <w:szCs w:val="22"/>
          <w:highlight w:val="none"/>
          <w:lang w:val="zh-CN" w:eastAsia="zh-CN" w:bidi="zh-CN"/>
        </w:rPr>
      </w:pPr>
      <w:r>
        <w:rPr>
          <w:rFonts w:ascii="宋体" w:hAnsi="宋体" w:eastAsia="宋体" w:cs="宋体"/>
          <w:color w:val="auto"/>
          <w:sz w:val="22"/>
          <w:szCs w:val="22"/>
          <w:highlight w:val="none"/>
          <w:lang w:val="zh-CN" w:eastAsia="zh-CN" w:bidi="zh-CN"/>
        </w:rPr>
        <w:t>投标人近3年内(从发布招标公告当日往前顺推三年)不得发生在处罚有效期内以下情况:①重大工程质量问题，或重大安全事故，或围标串标，或骗取中标，或提供虚假投标材料，或严重违约等违法违纪行为(严重违约情况、重大工程质量问题均以司法仲裁机构或行政主管部门等出具的认定文件为准)</w:t>
      </w:r>
      <w:r>
        <w:rPr>
          <w:rFonts w:hint="eastAsia" w:cs="宋体"/>
          <w:color w:val="auto"/>
          <w:sz w:val="22"/>
          <w:szCs w:val="22"/>
          <w:highlight w:val="none"/>
          <w:lang w:val="zh-CN" w:eastAsia="zh-CN" w:bidi="zh-CN"/>
        </w:rPr>
        <w:t>；</w:t>
      </w:r>
      <w:r>
        <w:rPr>
          <w:rFonts w:ascii="宋体" w:hAnsi="宋体" w:eastAsia="宋体" w:cs="宋体"/>
          <w:color w:val="auto"/>
          <w:sz w:val="22"/>
          <w:szCs w:val="22"/>
          <w:highlight w:val="none"/>
          <w:lang w:val="zh-CN" w:eastAsia="zh-CN" w:bidi="zh-CN"/>
        </w:rPr>
        <w:t>②被建设行政主管部门明令取消、暂停、禁止参与投标。【特别提示:投标人如被查实有在处罚有效期内的</w:t>
      </w:r>
      <w:r>
        <w:rPr>
          <w:color w:val="auto"/>
          <w:highlight w:val="none"/>
          <w:lang w:val="zh-CN" w:eastAsia="zh-CN"/>
        </w:rPr>
        <w:t>以上违法违纪行为的，无论在何地受到处罚，除其对本项目的投标按无效</w:t>
      </w:r>
      <w:r>
        <w:rPr>
          <w:rFonts w:ascii="宋体" w:hAnsi="宋体" w:eastAsia="宋体" w:cs="宋体"/>
          <w:color w:val="auto"/>
          <w:sz w:val="22"/>
          <w:szCs w:val="22"/>
          <w:highlight w:val="none"/>
          <w:lang w:val="zh-CN" w:eastAsia="zh-CN" w:bidi="zh-CN"/>
        </w:rPr>
        <w:t>处理外，其投标行为还须按“提供虚假投标材料”上报相关的建设行政主管部门,不予退还本项目的投标保证金。】</w:t>
      </w:r>
    </w:p>
    <w:p>
      <w:pPr>
        <w:pStyle w:val="28"/>
        <w:numPr>
          <w:ilvl w:val="2"/>
          <w:numId w:val="8"/>
        </w:numPr>
        <w:tabs>
          <w:tab w:val="left" w:pos="1720"/>
        </w:tabs>
        <w:spacing w:before="0" w:after="0" w:line="417" w:lineRule="auto"/>
        <w:ind w:left="671" w:right="955" w:firstLine="420"/>
        <w:jc w:val="both"/>
        <w:rPr>
          <w:rFonts w:ascii="宋体" w:hAnsi="宋体" w:eastAsia="宋体" w:cs="宋体"/>
          <w:color w:val="auto"/>
          <w:sz w:val="22"/>
          <w:szCs w:val="22"/>
          <w:highlight w:val="none"/>
          <w:lang w:val="zh-CN" w:eastAsia="zh-CN" w:bidi="zh-CN"/>
        </w:rPr>
      </w:pPr>
      <w:r>
        <w:rPr>
          <w:rFonts w:ascii="宋体" w:hAnsi="宋体" w:eastAsia="宋体" w:cs="宋体"/>
          <w:color w:val="auto"/>
          <w:sz w:val="22"/>
          <w:szCs w:val="22"/>
          <w:highlight w:val="none"/>
          <w:lang w:val="zh-CN" w:eastAsia="zh-CN" w:bidi="zh-CN"/>
        </w:rPr>
        <w:t>单位负责人为同一人或者存在控股、管理关系的不同单位，不得同时参加本招标项目投标。</w:t>
      </w:r>
    </w:p>
    <w:p>
      <w:pPr>
        <w:numPr>
          <w:ilvl w:val="1"/>
          <w:numId w:val="8"/>
        </w:numPr>
        <w:bidi w:val="0"/>
        <w:rPr>
          <w:color w:val="auto"/>
          <w:highlight w:val="none"/>
        </w:rPr>
      </w:pPr>
      <w:r>
        <w:rPr>
          <w:b/>
          <w:bCs/>
          <w:color w:val="auto"/>
          <w:sz w:val="24"/>
          <w:szCs w:val="24"/>
          <w:highlight w:val="none"/>
        </w:rPr>
        <w:t>费用承担</w:t>
      </w:r>
    </w:p>
    <w:p>
      <w:pPr>
        <w:pStyle w:val="28"/>
        <w:numPr>
          <w:ilvl w:val="2"/>
          <w:numId w:val="8"/>
        </w:numPr>
        <w:tabs>
          <w:tab w:val="left" w:pos="1720"/>
        </w:tabs>
        <w:spacing w:before="177" w:after="0" w:line="240" w:lineRule="auto"/>
        <w:ind w:left="1720" w:right="0" w:hanging="629"/>
        <w:jc w:val="left"/>
        <w:rPr>
          <w:color w:val="auto"/>
          <w:sz w:val="21"/>
          <w:highlight w:val="none"/>
        </w:rPr>
      </w:pPr>
      <w:r>
        <w:rPr>
          <w:color w:val="auto"/>
          <w:highlight w:val="none"/>
        </w:rPr>
        <w:t>投标人准备和参加投标活动发生的费用自理。</w:t>
      </w:r>
    </w:p>
    <w:p>
      <w:pPr>
        <w:pStyle w:val="14"/>
        <w:spacing w:before="2"/>
        <w:rPr>
          <w:color w:val="auto"/>
          <w:sz w:val="14"/>
          <w:highlight w:val="none"/>
        </w:rPr>
      </w:pPr>
    </w:p>
    <w:p>
      <w:pPr>
        <w:numPr>
          <w:ilvl w:val="1"/>
          <w:numId w:val="8"/>
        </w:numPr>
        <w:bidi w:val="0"/>
        <w:rPr>
          <w:color w:val="auto"/>
          <w:highlight w:val="none"/>
        </w:rPr>
      </w:pPr>
      <w:r>
        <w:rPr>
          <w:b/>
          <w:bCs/>
          <w:color w:val="auto"/>
          <w:sz w:val="24"/>
          <w:szCs w:val="24"/>
          <w:highlight w:val="none"/>
        </w:rPr>
        <w:t>保密</w:t>
      </w:r>
    </w:p>
    <w:p>
      <w:pPr>
        <w:pStyle w:val="14"/>
        <w:spacing w:before="178" w:line="417" w:lineRule="auto"/>
        <w:ind w:left="671" w:right="955" w:firstLine="420"/>
        <w:rPr>
          <w:color w:val="auto"/>
          <w:highlight w:val="none"/>
        </w:rPr>
      </w:pPr>
      <w:r>
        <w:rPr>
          <w:color w:val="auto"/>
          <w:highlight w:val="none"/>
        </w:rPr>
        <w:t>参与招标投标活动的各方应对招标文件和投标文件中的商业和技术等秘密保密，违者应对由此造成的后果承担法律责任。</w:t>
      </w:r>
    </w:p>
    <w:p>
      <w:pPr>
        <w:numPr>
          <w:ilvl w:val="1"/>
          <w:numId w:val="8"/>
        </w:numPr>
        <w:bidi w:val="0"/>
        <w:rPr>
          <w:b/>
          <w:bCs/>
          <w:color w:val="auto"/>
          <w:sz w:val="24"/>
          <w:szCs w:val="24"/>
          <w:highlight w:val="none"/>
        </w:rPr>
      </w:pPr>
      <w:r>
        <w:rPr>
          <w:b/>
          <w:bCs/>
          <w:color w:val="auto"/>
          <w:sz w:val="24"/>
          <w:szCs w:val="24"/>
          <w:highlight w:val="none"/>
        </w:rPr>
        <w:t>语言文字</w:t>
      </w:r>
    </w:p>
    <w:p>
      <w:pPr>
        <w:rPr>
          <w:color w:val="auto"/>
          <w:highlight w:val="none"/>
        </w:rPr>
      </w:pPr>
    </w:p>
    <w:p>
      <w:pPr>
        <w:bidi w:val="0"/>
        <w:ind w:firstLine="1100" w:firstLineChars="500"/>
        <w:rPr>
          <w:color w:val="auto"/>
          <w:highlight w:val="none"/>
        </w:rPr>
      </w:pPr>
      <w:r>
        <w:rPr>
          <w:color w:val="auto"/>
          <w:highlight w:val="none"/>
        </w:rPr>
        <w:t>除专用术语外，与招标投标有关的语言均使用中文。必要时专用术语应附有中文注释。</w:t>
      </w:r>
    </w:p>
    <w:p>
      <w:pPr>
        <w:pStyle w:val="14"/>
        <w:spacing w:before="2"/>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计量单位</w:t>
      </w:r>
    </w:p>
    <w:p>
      <w:pPr>
        <w:pStyle w:val="14"/>
        <w:spacing w:before="178"/>
        <w:ind w:left="1091"/>
        <w:rPr>
          <w:color w:val="auto"/>
          <w:highlight w:val="none"/>
        </w:rPr>
      </w:pPr>
      <w:r>
        <w:rPr>
          <w:color w:val="auto"/>
          <w:highlight w:val="none"/>
        </w:rPr>
        <w:t>所有计量均采用中华人民共和国法定计量单位。</w:t>
      </w:r>
    </w:p>
    <w:p>
      <w:pPr>
        <w:pStyle w:val="14"/>
        <w:spacing w:before="2"/>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踏勘现场</w:t>
      </w:r>
    </w:p>
    <w:p>
      <w:pPr>
        <w:pStyle w:val="28"/>
        <w:numPr>
          <w:ilvl w:val="2"/>
          <w:numId w:val="8"/>
        </w:numPr>
        <w:tabs>
          <w:tab w:val="left" w:pos="1931"/>
          <w:tab w:val="left" w:pos="1932"/>
        </w:tabs>
        <w:spacing w:before="178" w:after="0" w:line="417" w:lineRule="auto"/>
        <w:ind w:left="671" w:right="955" w:firstLine="420"/>
        <w:jc w:val="left"/>
        <w:rPr>
          <w:color w:val="auto"/>
          <w:sz w:val="21"/>
          <w:highlight w:val="none"/>
        </w:rPr>
      </w:pPr>
      <w:r>
        <w:rPr>
          <w:color w:val="auto"/>
          <w:highlight w:val="none"/>
        </w:rPr>
        <w:t>投标人须知前附表规定织踏勘现场的，招标人按投标人须知前附表规定的时间</w:t>
      </w:r>
      <w:r>
        <w:rPr>
          <w:color w:val="auto"/>
          <w:w w:val="95"/>
          <w:sz w:val="21"/>
          <w:highlight w:val="none"/>
        </w:rPr>
        <w:t>、</w:t>
      </w:r>
      <w:r>
        <w:rPr>
          <w:color w:val="auto"/>
          <w:highlight w:val="none"/>
        </w:rPr>
        <w:t>地点组织投标人踏勘项目现场。</w:t>
      </w:r>
    </w:p>
    <w:p>
      <w:pPr>
        <w:pStyle w:val="28"/>
        <w:numPr>
          <w:ilvl w:val="2"/>
          <w:numId w:val="8"/>
        </w:numPr>
        <w:tabs>
          <w:tab w:val="left" w:pos="1931"/>
          <w:tab w:val="left" w:pos="1932"/>
        </w:tabs>
        <w:spacing w:before="0" w:after="0" w:line="269" w:lineRule="exact"/>
        <w:ind w:left="1931" w:right="0" w:hanging="841"/>
        <w:jc w:val="left"/>
        <w:rPr>
          <w:color w:val="auto"/>
          <w:sz w:val="21"/>
          <w:highlight w:val="none"/>
        </w:rPr>
      </w:pPr>
      <w:r>
        <w:rPr>
          <w:color w:val="auto"/>
          <w:highlight w:val="none"/>
        </w:rPr>
        <w:t>投标人踏勘现场发生的费用自理</w:t>
      </w:r>
      <w:r>
        <w:rPr>
          <w:rFonts w:hint="eastAsia"/>
          <w:color w:val="auto"/>
          <w:highlight w:val="none"/>
          <w:lang w:eastAsia="zh-CN"/>
        </w:rPr>
        <w:t>。</w:t>
      </w:r>
    </w:p>
    <w:p>
      <w:pPr>
        <w:pStyle w:val="14"/>
        <w:spacing w:before="7"/>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highlight w:val="none"/>
        </w:rPr>
      </w:pPr>
      <w:r>
        <w:rPr>
          <w:color w:val="auto"/>
          <w:highlight w:val="none"/>
        </w:rPr>
        <w:t>除招标人的原因外，投标人自行负责在踏勘现场中所发生的人员伤亡和财产损失。</w:t>
      </w:r>
    </w:p>
    <w:p>
      <w:pPr>
        <w:pStyle w:val="14"/>
        <w:spacing w:before="7"/>
        <w:rPr>
          <w:color w:val="auto"/>
          <w:sz w:val="15"/>
          <w:highlight w:val="none"/>
        </w:rPr>
      </w:pPr>
    </w:p>
    <w:p>
      <w:pPr>
        <w:pStyle w:val="28"/>
        <w:numPr>
          <w:ilvl w:val="2"/>
          <w:numId w:val="8"/>
        </w:numPr>
        <w:tabs>
          <w:tab w:val="left" w:pos="1931"/>
          <w:tab w:val="left" w:pos="1932"/>
        </w:tabs>
        <w:spacing w:before="0" w:after="0" w:line="417" w:lineRule="auto"/>
        <w:ind w:left="671" w:right="955" w:firstLine="420"/>
        <w:jc w:val="left"/>
        <w:rPr>
          <w:color w:val="auto"/>
          <w:highlight w:val="none"/>
        </w:rPr>
      </w:pPr>
      <w:r>
        <w:rPr>
          <w:color w:val="auto"/>
          <w:highlight w:val="none"/>
        </w:rPr>
        <w:t>招标人在踏勘现场中介绍的工程场地和相关的周边环境情况，供投标人在编制投标文件时参考，招标人不对投标人据此作出的判断和决策负责。</w:t>
      </w:r>
    </w:p>
    <w:p>
      <w:pPr>
        <w:numPr>
          <w:ilvl w:val="1"/>
          <w:numId w:val="8"/>
        </w:numPr>
        <w:bidi w:val="0"/>
        <w:rPr>
          <w:b/>
          <w:bCs/>
          <w:color w:val="auto"/>
          <w:sz w:val="24"/>
          <w:szCs w:val="24"/>
          <w:highlight w:val="none"/>
        </w:rPr>
      </w:pPr>
      <w:r>
        <w:rPr>
          <w:b/>
          <w:bCs/>
          <w:color w:val="auto"/>
          <w:sz w:val="24"/>
          <w:szCs w:val="24"/>
          <w:highlight w:val="none"/>
        </w:rPr>
        <w:t>投标预备会</w:t>
      </w:r>
    </w:p>
    <w:p>
      <w:pPr>
        <w:pStyle w:val="28"/>
        <w:numPr>
          <w:ilvl w:val="2"/>
          <w:numId w:val="8"/>
        </w:numPr>
        <w:tabs>
          <w:tab w:val="left" w:pos="1931"/>
          <w:tab w:val="left" w:pos="1932"/>
        </w:tabs>
        <w:spacing w:before="178" w:after="0" w:line="417" w:lineRule="auto"/>
        <w:ind w:left="671" w:right="955" w:firstLine="420"/>
        <w:jc w:val="left"/>
        <w:rPr>
          <w:color w:val="auto"/>
          <w:highlight w:val="none"/>
        </w:rPr>
      </w:pPr>
      <w:r>
        <w:rPr>
          <w:color w:val="auto"/>
          <w:highlight w:val="none"/>
        </w:rPr>
        <w:t>投标人须知前附表规定召开投标预备会的，招标人按投标人须知前附表规定的时间和地点召开投标预备会，澄清投标人提出的问题。</w:t>
      </w:r>
    </w:p>
    <w:p>
      <w:pPr>
        <w:pStyle w:val="28"/>
        <w:numPr>
          <w:ilvl w:val="2"/>
          <w:numId w:val="8"/>
        </w:numPr>
        <w:tabs>
          <w:tab w:val="left" w:pos="1931"/>
          <w:tab w:val="left" w:pos="1932"/>
        </w:tabs>
        <w:spacing w:before="0" w:after="0" w:line="417" w:lineRule="auto"/>
        <w:ind w:left="671" w:right="849" w:firstLine="420"/>
        <w:jc w:val="left"/>
        <w:rPr>
          <w:color w:val="auto"/>
          <w:highlight w:val="none"/>
        </w:rPr>
      </w:pPr>
      <w:r>
        <w:rPr>
          <w:color w:val="auto"/>
          <w:highlight w:val="none"/>
        </w:rPr>
        <w:t>投标人应在投标人须知前附表规定的时间前，以书面形式将提出的问题送达招标人，以便招标人在会议期间澄清。</w:t>
      </w:r>
    </w:p>
    <w:p>
      <w:pPr>
        <w:pStyle w:val="28"/>
        <w:numPr>
          <w:ilvl w:val="2"/>
          <w:numId w:val="8"/>
        </w:numPr>
        <w:tabs>
          <w:tab w:val="left" w:pos="1931"/>
          <w:tab w:val="left" w:pos="1932"/>
        </w:tabs>
        <w:spacing w:before="0" w:after="0" w:line="417" w:lineRule="auto"/>
        <w:ind w:left="671" w:right="955" w:firstLine="420"/>
        <w:jc w:val="left"/>
        <w:rPr>
          <w:color w:val="auto"/>
          <w:highlight w:val="none"/>
        </w:rPr>
      </w:pPr>
      <w:r>
        <w:rPr>
          <w:color w:val="auto"/>
          <w:highlight w:val="none"/>
        </w:rPr>
        <w:t>投标预备会后，招标人在投标人须知前附表规定的时间内，将对投标人所提问题的澄清，以书面方式通知所有购买招标文件的投标人。该澄清内容为招标文件的组成部分。</w:t>
      </w:r>
    </w:p>
    <w:p>
      <w:pPr>
        <w:numPr>
          <w:ilvl w:val="1"/>
          <w:numId w:val="8"/>
        </w:numPr>
        <w:bidi w:val="0"/>
        <w:rPr>
          <w:b/>
          <w:bCs/>
          <w:color w:val="auto"/>
          <w:sz w:val="24"/>
          <w:szCs w:val="24"/>
          <w:highlight w:val="none"/>
        </w:rPr>
      </w:pPr>
      <w:r>
        <w:rPr>
          <w:b/>
          <w:bCs/>
          <w:color w:val="auto"/>
          <w:sz w:val="24"/>
          <w:szCs w:val="24"/>
          <w:highlight w:val="none"/>
        </w:rPr>
        <w:t>分包</w:t>
      </w:r>
    </w:p>
    <w:p>
      <w:pPr>
        <w:pStyle w:val="14"/>
        <w:spacing w:before="178" w:line="417" w:lineRule="auto"/>
        <w:ind w:left="671" w:right="955" w:firstLine="42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pPr>
        <w:numPr>
          <w:ilvl w:val="1"/>
          <w:numId w:val="8"/>
        </w:numPr>
        <w:bidi w:val="0"/>
        <w:rPr>
          <w:b/>
          <w:bCs/>
          <w:color w:val="auto"/>
          <w:sz w:val="24"/>
          <w:szCs w:val="24"/>
          <w:highlight w:val="none"/>
        </w:rPr>
      </w:pPr>
      <w:r>
        <w:rPr>
          <w:b/>
          <w:bCs/>
          <w:color w:val="auto"/>
          <w:sz w:val="24"/>
          <w:szCs w:val="24"/>
          <w:highlight w:val="none"/>
        </w:rPr>
        <w:t>偏离</w:t>
      </w:r>
    </w:p>
    <w:p>
      <w:pPr>
        <w:pStyle w:val="14"/>
        <w:spacing w:before="179" w:line="417" w:lineRule="auto"/>
        <w:ind w:left="671" w:right="955" w:firstLine="420"/>
        <w:rPr>
          <w:color w:val="auto"/>
          <w:highlight w:val="none"/>
        </w:rPr>
      </w:pPr>
      <w:r>
        <w:rPr>
          <w:color w:val="auto"/>
          <w:highlight w:val="none"/>
        </w:rPr>
        <w:t>投标人须知前附表允许投标文件偏离招标文件某些要求的，偏离应当符合招标文件规定的偏离范围和幅度。</w:t>
      </w:r>
    </w:p>
    <w:p>
      <w:pPr>
        <w:numPr>
          <w:ilvl w:val="0"/>
          <w:numId w:val="8"/>
        </w:numPr>
        <w:bidi w:val="0"/>
        <w:rPr>
          <w:b/>
          <w:bCs/>
          <w:color w:val="auto"/>
          <w:sz w:val="24"/>
          <w:szCs w:val="24"/>
          <w:highlight w:val="none"/>
        </w:rPr>
      </w:pPr>
      <w:r>
        <w:rPr>
          <w:b/>
          <w:bCs/>
          <w:color w:val="auto"/>
          <w:sz w:val="24"/>
          <w:szCs w:val="24"/>
          <w:highlight w:val="none"/>
        </w:rPr>
        <w:t>招标文件</w:t>
      </w:r>
    </w:p>
    <w:p>
      <w:pPr>
        <w:numPr>
          <w:ilvl w:val="1"/>
          <w:numId w:val="8"/>
        </w:numPr>
        <w:bidi w:val="0"/>
        <w:rPr>
          <w:b/>
          <w:bCs/>
          <w:color w:val="auto"/>
          <w:sz w:val="24"/>
          <w:szCs w:val="24"/>
          <w:highlight w:val="none"/>
        </w:rPr>
      </w:pPr>
      <w:r>
        <w:rPr>
          <w:b/>
          <w:bCs/>
          <w:color w:val="auto"/>
          <w:sz w:val="24"/>
          <w:szCs w:val="24"/>
          <w:highlight w:val="none"/>
        </w:rPr>
        <w:t>招标文件的组成</w:t>
      </w:r>
    </w:p>
    <w:p>
      <w:pPr>
        <w:pStyle w:val="14"/>
        <w:spacing w:before="179"/>
        <w:ind w:left="1091"/>
        <w:rPr>
          <w:color w:val="auto"/>
          <w:highlight w:val="none"/>
        </w:rPr>
      </w:pPr>
      <w:r>
        <w:rPr>
          <w:color w:val="auto"/>
          <w:highlight w:val="none"/>
        </w:rPr>
        <w:t>本招标文件包括：</w:t>
      </w:r>
    </w:p>
    <w:p>
      <w:pPr>
        <w:pStyle w:val="14"/>
        <w:spacing w:before="6"/>
        <w:rPr>
          <w:color w:val="auto"/>
          <w:sz w:val="15"/>
          <w:highlight w:val="none"/>
        </w:rPr>
      </w:pPr>
    </w:p>
    <w:p>
      <w:pPr>
        <w:pStyle w:val="28"/>
        <w:numPr>
          <w:ilvl w:val="0"/>
          <w:numId w:val="11"/>
        </w:numPr>
        <w:tabs>
          <w:tab w:val="left" w:pos="1616"/>
        </w:tabs>
        <w:spacing w:before="0" w:after="0" w:line="240" w:lineRule="auto"/>
        <w:ind w:left="1615" w:right="0" w:hanging="525"/>
        <w:jc w:val="left"/>
        <w:rPr>
          <w:color w:val="auto"/>
          <w:sz w:val="21"/>
          <w:highlight w:val="none"/>
        </w:rPr>
      </w:pPr>
      <w:r>
        <w:rPr>
          <w:color w:val="auto"/>
          <w:highlight w:val="none"/>
        </w:rPr>
        <w:t>招标公告；</w:t>
      </w:r>
    </w:p>
    <w:p>
      <w:pPr>
        <w:pStyle w:val="14"/>
        <w:spacing w:before="7"/>
        <w:rPr>
          <w:color w:val="auto"/>
          <w:sz w:val="15"/>
          <w:highlight w:val="none"/>
        </w:rPr>
      </w:pPr>
    </w:p>
    <w:p>
      <w:pPr>
        <w:numPr>
          <w:ilvl w:val="0"/>
          <w:numId w:val="11"/>
        </w:numPr>
        <w:bidi w:val="0"/>
        <w:rPr>
          <w:color w:val="auto"/>
          <w:highlight w:val="none"/>
        </w:rPr>
      </w:pPr>
      <w:r>
        <w:rPr>
          <w:color w:val="auto"/>
          <w:highlight w:val="none"/>
        </w:rPr>
        <w:t>投标人须知；</w:t>
      </w:r>
    </w:p>
    <w:p>
      <w:pPr>
        <w:pStyle w:val="14"/>
        <w:spacing w:before="7"/>
        <w:rPr>
          <w:color w:val="auto"/>
          <w:sz w:val="15"/>
          <w:highlight w:val="none"/>
        </w:rPr>
      </w:pPr>
    </w:p>
    <w:p>
      <w:pPr>
        <w:numPr>
          <w:ilvl w:val="0"/>
          <w:numId w:val="11"/>
        </w:numPr>
        <w:bidi w:val="0"/>
        <w:spacing w:line="360" w:lineRule="auto"/>
        <w:rPr>
          <w:color w:val="auto"/>
          <w:sz w:val="15"/>
          <w:highlight w:val="none"/>
        </w:rPr>
      </w:pPr>
      <w:r>
        <w:rPr>
          <w:color w:val="auto"/>
          <w:highlight w:val="none"/>
        </w:rPr>
        <w:t>评标办法；</w:t>
      </w:r>
    </w:p>
    <w:p>
      <w:pPr>
        <w:numPr>
          <w:ilvl w:val="0"/>
          <w:numId w:val="11"/>
        </w:numPr>
        <w:bidi w:val="0"/>
        <w:spacing w:line="360" w:lineRule="auto"/>
        <w:rPr>
          <w:color w:val="auto"/>
          <w:highlight w:val="none"/>
        </w:rPr>
      </w:pPr>
      <w:r>
        <w:rPr>
          <w:color w:val="auto"/>
          <w:highlight w:val="none"/>
        </w:rPr>
        <w:t>合同条款及格；</w:t>
      </w:r>
    </w:p>
    <w:p>
      <w:pPr>
        <w:numPr>
          <w:ilvl w:val="0"/>
          <w:numId w:val="11"/>
        </w:numPr>
        <w:bidi w:val="0"/>
        <w:spacing w:line="360" w:lineRule="auto"/>
        <w:rPr>
          <w:color w:val="auto"/>
          <w:sz w:val="15"/>
          <w:highlight w:val="none"/>
        </w:rPr>
      </w:pPr>
      <w:r>
        <w:rPr>
          <w:color w:val="auto"/>
          <w:highlight w:val="none"/>
        </w:rPr>
        <w:t>工程量清单；</w:t>
      </w:r>
    </w:p>
    <w:p>
      <w:pPr>
        <w:numPr>
          <w:ilvl w:val="0"/>
          <w:numId w:val="11"/>
        </w:numPr>
        <w:bidi w:val="0"/>
        <w:spacing w:line="360" w:lineRule="auto"/>
        <w:rPr>
          <w:color w:val="auto"/>
          <w:sz w:val="15"/>
          <w:highlight w:val="none"/>
        </w:rPr>
      </w:pPr>
      <w:r>
        <w:rPr>
          <w:color w:val="auto"/>
          <w:highlight w:val="none"/>
        </w:rPr>
        <w:t>图纸；</w:t>
      </w:r>
    </w:p>
    <w:p>
      <w:pPr>
        <w:numPr>
          <w:ilvl w:val="0"/>
          <w:numId w:val="11"/>
        </w:numPr>
        <w:bidi w:val="0"/>
        <w:spacing w:line="360" w:lineRule="auto"/>
        <w:rPr>
          <w:color w:val="auto"/>
          <w:sz w:val="15"/>
          <w:highlight w:val="none"/>
        </w:rPr>
      </w:pPr>
      <w:r>
        <w:rPr>
          <w:color w:val="auto"/>
          <w:highlight w:val="none"/>
        </w:rPr>
        <w:t>技术标准和要求；</w:t>
      </w:r>
    </w:p>
    <w:p>
      <w:pPr>
        <w:numPr>
          <w:ilvl w:val="0"/>
          <w:numId w:val="11"/>
        </w:numPr>
        <w:bidi w:val="0"/>
        <w:spacing w:line="360" w:lineRule="auto"/>
        <w:rPr>
          <w:color w:val="auto"/>
          <w:sz w:val="15"/>
          <w:highlight w:val="none"/>
        </w:rPr>
      </w:pPr>
      <w:r>
        <w:rPr>
          <w:color w:val="auto"/>
          <w:highlight w:val="none"/>
        </w:rPr>
        <w:t>投标文件格式；</w:t>
      </w:r>
    </w:p>
    <w:p>
      <w:pPr>
        <w:numPr>
          <w:ilvl w:val="0"/>
          <w:numId w:val="11"/>
        </w:numPr>
        <w:bidi w:val="0"/>
        <w:spacing w:line="360" w:lineRule="auto"/>
        <w:rPr>
          <w:color w:val="auto"/>
          <w:highlight w:val="none"/>
        </w:rPr>
      </w:pPr>
      <w:r>
        <w:rPr>
          <w:color w:val="auto"/>
          <w:highlight w:val="none"/>
        </w:rPr>
        <w:t>投标人须知前附表规定的其他材料。</w:t>
      </w:r>
    </w:p>
    <w:p>
      <w:pPr>
        <w:pStyle w:val="14"/>
        <w:spacing w:before="7" w:line="360" w:lineRule="auto"/>
        <w:rPr>
          <w:color w:val="auto"/>
          <w:sz w:val="15"/>
          <w:highlight w:val="none"/>
        </w:rPr>
      </w:pPr>
    </w:p>
    <w:p>
      <w:pPr>
        <w:pStyle w:val="14"/>
        <w:spacing w:line="360" w:lineRule="auto"/>
        <w:ind w:left="671" w:right="955" w:firstLine="420"/>
        <w:rPr>
          <w:color w:val="auto"/>
          <w:highlight w:val="none"/>
        </w:rPr>
      </w:pPr>
      <w:r>
        <w:rPr>
          <w:color w:val="auto"/>
          <w:highlight w:val="none"/>
        </w:rPr>
        <w:t>根据本章第1.10款、第2.2款和第2.3款对招标文件所作的澄清、修改，构成招标文件的组成部分。</w:t>
      </w:r>
    </w:p>
    <w:p>
      <w:pPr>
        <w:numPr>
          <w:ilvl w:val="1"/>
          <w:numId w:val="8"/>
        </w:numPr>
        <w:bidi w:val="0"/>
        <w:rPr>
          <w:b/>
          <w:bCs/>
          <w:color w:val="auto"/>
          <w:sz w:val="24"/>
          <w:szCs w:val="24"/>
          <w:highlight w:val="none"/>
        </w:rPr>
      </w:pPr>
      <w:r>
        <w:rPr>
          <w:b/>
          <w:bCs/>
          <w:color w:val="auto"/>
          <w:sz w:val="24"/>
          <w:szCs w:val="24"/>
          <w:highlight w:val="none"/>
        </w:rPr>
        <w:t>招标文件的澄清</w:t>
      </w:r>
    </w:p>
    <w:p>
      <w:pPr>
        <w:pStyle w:val="28"/>
        <w:numPr>
          <w:ilvl w:val="2"/>
          <w:numId w:val="8"/>
        </w:numPr>
        <w:tabs>
          <w:tab w:val="left" w:pos="1931"/>
          <w:tab w:val="left" w:pos="1932"/>
        </w:tabs>
        <w:spacing w:before="179" w:after="0" w:line="417" w:lineRule="auto"/>
        <w:ind w:left="671" w:right="849" w:firstLine="420"/>
        <w:jc w:val="left"/>
        <w:rPr>
          <w:color w:val="auto"/>
          <w:highlight w:val="none"/>
        </w:rPr>
      </w:pPr>
      <w:r>
        <w:rPr>
          <w:color w:val="auto"/>
          <w:highlight w:val="none"/>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Style w:val="28"/>
        <w:numPr>
          <w:ilvl w:val="2"/>
          <w:numId w:val="8"/>
        </w:numPr>
        <w:tabs>
          <w:tab w:val="left" w:pos="1931"/>
          <w:tab w:val="left" w:pos="1932"/>
        </w:tabs>
        <w:spacing w:before="0" w:after="0" w:line="417" w:lineRule="auto"/>
        <w:ind w:left="671" w:right="955" w:firstLine="420"/>
        <w:jc w:val="left"/>
        <w:rPr>
          <w:color w:val="auto"/>
          <w:highlight w:val="none"/>
        </w:rPr>
      </w:pPr>
      <w:r>
        <w:rPr>
          <w:color w:val="auto"/>
          <w:highlight w:val="none"/>
        </w:rPr>
        <w:t>对招标文件的澄清将在投标人须知前附表规定的投标截止时间15天前在</w:t>
      </w:r>
      <w:r>
        <w:rPr>
          <w:b/>
          <w:bCs/>
          <w:color w:val="auto"/>
          <w:highlight w:val="none"/>
        </w:rPr>
        <w:t>云浮市公共资源交易网、广东省招标投标监管网</w:t>
      </w:r>
      <w:r>
        <w:rPr>
          <w:color w:val="auto"/>
          <w:highlight w:val="none"/>
        </w:rPr>
        <w:t>上予以公布，但不指明澄清问题的来源。如果澄清发出的时间距投标截止时间不足15天，相应延长投标截止时间。</w:t>
      </w:r>
    </w:p>
    <w:p>
      <w:pPr>
        <w:numPr>
          <w:ilvl w:val="1"/>
          <w:numId w:val="8"/>
        </w:numPr>
        <w:bidi w:val="0"/>
        <w:rPr>
          <w:b/>
          <w:bCs/>
          <w:color w:val="auto"/>
          <w:sz w:val="24"/>
          <w:szCs w:val="24"/>
          <w:highlight w:val="none"/>
        </w:rPr>
      </w:pPr>
      <w:r>
        <w:rPr>
          <w:b/>
          <w:bCs/>
          <w:color w:val="auto"/>
          <w:sz w:val="24"/>
          <w:szCs w:val="24"/>
          <w:highlight w:val="none"/>
        </w:rPr>
        <w:t>招标文件的修改</w:t>
      </w:r>
    </w:p>
    <w:p>
      <w:pPr>
        <w:pStyle w:val="28"/>
        <w:numPr>
          <w:ilvl w:val="2"/>
          <w:numId w:val="8"/>
        </w:numPr>
        <w:tabs>
          <w:tab w:val="left" w:pos="1932"/>
        </w:tabs>
        <w:spacing w:before="178" w:after="0" w:line="360" w:lineRule="auto"/>
        <w:ind w:left="671" w:right="955" w:firstLine="420"/>
        <w:jc w:val="both"/>
        <w:rPr>
          <w:color w:val="auto"/>
          <w:highlight w:val="none"/>
        </w:rPr>
      </w:pPr>
      <w:r>
        <w:rPr>
          <w:color w:val="auto"/>
          <w:highlight w:val="none"/>
        </w:rPr>
        <w:t>在投标截止时间15天前，对招标文件的修改将在</w:t>
      </w:r>
      <w:r>
        <w:rPr>
          <w:rFonts w:hint="eastAsia"/>
          <w:b/>
          <w:bCs/>
          <w:color w:val="auto"/>
          <w:highlight w:val="none"/>
          <w:lang w:val="en-US" w:eastAsia="zh-CN"/>
        </w:rPr>
        <w:t>广东晓君项目管理有限公司网站</w:t>
      </w:r>
      <w:r>
        <w:rPr>
          <w:color w:val="auto"/>
          <w:highlight w:val="none"/>
        </w:rPr>
        <w:t>上公布。如果修改招标文件的时间距投标截止时间不足15天，相应延长投标截止时间。</w:t>
      </w:r>
    </w:p>
    <w:p>
      <w:pPr>
        <w:numPr>
          <w:ilvl w:val="0"/>
          <w:numId w:val="8"/>
        </w:numPr>
        <w:bidi w:val="0"/>
        <w:spacing w:line="360" w:lineRule="auto"/>
        <w:rPr>
          <w:b/>
          <w:bCs/>
          <w:color w:val="auto"/>
          <w:sz w:val="24"/>
          <w:szCs w:val="24"/>
          <w:highlight w:val="none"/>
        </w:rPr>
      </w:pPr>
      <w:r>
        <w:rPr>
          <w:b/>
          <w:bCs/>
          <w:color w:val="auto"/>
          <w:sz w:val="24"/>
          <w:szCs w:val="24"/>
          <w:highlight w:val="none"/>
        </w:rPr>
        <w:t>投标文件</w:t>
      </w:r>
    </w:p>
    <w:p>
      <w:pPr>
        <w:numPr>
          <w:ilvl w:val="1"/>
          <w:numId w:val="8"/>
        </w:numPr>
        <w:bidi w:val="0"/>
        <w:spacing w:line="360" w:lineRule="auto"/>
        <w:rPr>
          <w:b/>
          <w:bCs/>
          <w:color w:val="auto"/>
          <w:sz w:val="24"/>
          <w:szCs w:val="24"/>
          <w:highlight w:val="none"/>
        </w:rPr>
      </w:pPr>
      <w:r>
        <w:rPr>
          <w:b/>
          <w:bCs/>
          <w:color w:val="auto"/>
          <w:sz w:val="24"/>
          <w:szCs w:val="24"/>
          <w:highlight w:val="none"/>
        </w:rPr>
        <w:t>投标文件的组成</w:t>
      </w:r>
    </w:p>
    <w:p>
      <w:pPr>
        <w:pStyle w:val="28"/>
        <w:numPr>
          <w:ilvl w:val="2"/>
          <w:numId w:val="8"/>
        </w:numPr>
        <w:tabs>
          <w:tab w:val="left" w:pos="1720"/>
        </w:tabs>
        <w:spacing w:before="179" w:after="0" w:line="240" w:lineRule="auto"/>
        <w:ind w:left="1720" w:right="0" w:hanging="629"/>
        <w:jc w:val="left"/>
        <w:rPr>
          <w:color w:val="auto"/>
          <w:highlight w:val="none"/>
        </w:rPr>
      </w:pPr>
      <w:r>
        <w:rPr>
          <w:color w:val="auto"/>
          <w:highlight w:val="none"/>
        </w:rPr>
        <w:t>投标文件由书面投标函部分、书面商务部分和电子文件三部分组成：</w:t>
      </w:r>
    </w:p>
    <w:p>
      <w:pPr>
        <w:pStyle w:val="14"/>
        <w:spacing w:before="6"/>
        <w:rPr>
          <w:color w:val="auto"/>
          <w:sz w:val="15"/>
          <w:highlight w:val="none"/>
        </w:rPr>
      </w:pPr>
    </w:p>
    <w:p>
      <w:pPr>
        <w:pStyle w:val="28"/>
        <w:numPr>
          <w:ilvl w:val="2"/>
          <w:numId w:val="8"/>
        </w:numPr>
        <w:tabs>
          <w:tab w:val="left" w:pos="1720"/>
        </w:tabs>
        <w:spacing w:before="0" w:after="0" w:line="240" w:lineRule="auto"/>
        <w:ind w:left="1720" w:right="0" w:hanging="629"/>
        <w:jc w:val="left"/>
        <w:rPr>
          <w:color w:val="auto"/>
          <w:highlight w:val="none"/>
        </w:rPr>
      </w:pPr>
      <w:r>
        <w:rPr>
          <w:color w:val="auto"/>
          <w:highlight w:val="none"/>
        </w:rPr>
        <w:t>书面投标函部分主要包括下列内容：</w:t>
      </w:r>
    </w:p>
    <w:p>
      <w:pPr>
        <w:pStyle w:val="14"/>
        <w:spacing w:before="7"/>
        <w:rPr>
          <w:color w:val="auto"/>
          <w:sz w:val="15"/>
          <w:highlight w:val="none"/>
        </w:rPr>
      </w:pPr>
    </w:p>
    <w:p>
      <w:pPr>
        <w:numPr>
          <w:ilvl w:val="0"/>
          <w:numId w:val="12"/>
        </w:numPr>
        <w:bidi w:val="0"/>
        <w:rPr>
          <w:color w:val="auto"/>
          <w:highlight w:val="none"/>
        </w:rPr>
      </w:pPr>
      <w:r>
        <w:rPr>
          <w:color w:val="auto"/>
          <w:highlight w:val="none"/>
        </w:rPr>
        <w:t>封面；</w:t>
      </w:r>
    </w:p>
    <w:p>
      <w:pPr>
        <w:pStyle w:val="14"/>
        <w:spacing w:before="7"/>
        <w:rPr>
          <w:color w:val="auto"/>
          <w:sz w:val="15"/>
          <w:highlight w:val="none"/>
        </w:rPr>
      </w:pPr>
    </w:p>
    <w:p>
      <w:pPr>
        <w:numPr>
          <w:ilvl w:val="0"/>
          <w:numId w:val="12"/>
        </w:numPr>
        <w:bidi w:val="0"/>
        <w:rPr>
          <w:color w:val="auto"/>
          <w:highlight w:val="none"/>
        </w:rPr>
      </w:pPr>
      <w:r>
        <w:rPr>
          <w:color w:val="auto"/>
          <w:highlight w:val="none"/>
        </w:rPr>
        <w:t>法定代表人身份证明书；</w:t>
      </w:r>
    </w:p>
    <w:p>
      <w:pPr>
        <w:pStyle w:val="14"/>
        <w:spacing w:before="6"/>
        <w:rPr>
          <w:color w:val="auto"/>
          <w:sz w:val="15"/>
          <w:highlight w:val="none"/>
        </w:rPr>
      </w:pPr>
    </w:p>
    <w:p>
      <w:pPr>
        <w:numPr>
          <w:ilvl w:val="0"/>
          <w:numId w:val="12"/>
        </w:numPr>
        <w:bidi w:val="0"/>
        <w:rPr>
          <w:color w:val="auto"/>
          <w:highlight w:val="none"/>
        </w:rPr>
      </w:pPr>
      <w:r>
        <w:rPr>
          <w:color w:val="auto"/>
          <w:highlight w:val="none"/>
        </w:rPr>
        <w:t>授权委托书（如果有）；</w:t>
      </w:r>
    </w:p>
    <w:p>
      <w:pPr>
        <w:pStyle w:val="14"/>
        <w:spacing w:before="6"/>
        <w:rPr>
          <w:color w:val="auto"/>
          <w:sz w:val="15"/>
          <w:highlight w:val="none"/>
        </w:rPr>
      </w:pPr>
    </w:p>
    <w:p>
      <w:pPr>
        <w:numPr>
          <w:ilvl w:val="0"/>
          <w:numId w:val="12"/>
        </w:numPr>
        <w:bidi w:val="0"/>
        <w:rPr>
          <w:color w:val="auto"/>
          <w:highlight w:val="none"/>
        </w:rPr>
      </w:pPr>
      <w:r>
        <w:rPr>
          <w:color w:val="auto"/>
          <w:highlight w:val="none"/>
        </w:rPr>
        <w:t>投标函；</w:t>
      </w:r>
    </w:p>
    <w:p>
      <w:pPr>
        <w:pStyle w:val="14"/>
        <w:spacing w:before="7"/>
        <w:rPr>
          <w:color w:val="auto"/>
          <w:sz w:val="15"/>
          <w:highlight w:val="none"/>
        </w:rPr>
      </w:pPr>
    </w:p>
    <w:p>
      <w:pPr>
        <w:numPr>
          <w:ilvl w:val="0"/>
          <w:numId w:val="12"/>
        </w:numPr>
        <w:bidi w:val="0"/>
        <w:rPr>
          <w:color w:val="auto"/>
          <w:highlight w:val="none"/>
        </w:rPr>
      </w:pPr>
      <w:r>
        <w:rPr>
          <w:color w:val="auto"/>
          <w:highlight w:val="none"/>
        </w:rPr>
        <w:t>投标函附录；</w:t>
      </w:r>
    </w:p>
    <w:p>
      <w:pPr>
        <w:pStyle w:val="14"/>
        <w:spacing w:before="7"/>
        <w:rPr>
          <w:color w:val="auto"/>
          <w:sz w:val="15"/>
          <w:highlight w:val="none"/>
        </w:rPr>
      </w:pPr>
    </w:p>
    <w:p>
      <w:pPr>
        <w:pStyle w:val="28"/>
        <w:numPr>
          <w:ilvl w:val="0"/>
          <w:numId w:val="12"/>
        </w:numPr>
        <w:tabs>
          <w:tab w:val="left" w:pos="1616"/>
        </w:tabs>
        <w:spacing w:before="0" w:after="0" w:line="240" w:lineRule="auto"/>
        <w:ind w:left="1615" w:right="0" w:hanging="525"/>
        <w:jc w:val="left"/>
        <w:rPr>
          <w:color w:val="auto"/>
          <w:sz w:val="21"/>
          <w:highlight w:val="none"/>
        </w:rPr>
      </w:pPr>
      <w:r>
        <w:rPr>
          <w:color w:val="auto"/>
          <w:highlight w:val="none"/>
          <w:lang w:val="zh-CN" w:eastAsia="zh-CN"/>
        </w:rPr>
        <w:t>拟投入本工程项目主要施工人员</w:t>
      </w:r>
      <w:r>
        <w:rPr>
          <w:rFonts w:ascii="宋体" w:hAnsi="宋体" w:eastAsia="宋体" w:cs="宋体"/>
          <w:color w:val="auto"/>
          <w:sz w:val="22"/>
          <w:szCs w:val="22"/>
          <w:highlight w:val="none"/>
          <w:lang w:val="zh-CN" w:eastAsia="zh-CN" w:bidi="zh-CN"/>
        </w:rPr>
        <w:t>简介；</w:t>
      </w:r>
    </w:p>
    <w:p>
      <w:pPr>
        <w:pStyle w:val="14"/>
        <w:spacing w:before="6"/>
        <w:rPr>
          <w:color w:val="auto"/>
          <w:sz w:val="15"/>
          <w:highlight w:val="none"/>
        </w:rPr>
      </w:pPr>
    </w:p>
    <w:p>
      <w:pPr>
        <w:numPr>
          <w:ilvl w:val="0"/>
          <w:numId w:val="12"/>
        </w:numPr>
        <w:bidi w:val="0"/>
        <w:rPr>
          <w:color w:val="auto"/>
          <w:highlight w:val="none"/>
        </w:rPr>
      </w:pPr>
      <w:r>
        <w:rPr>
          <w:color w:val="auto"/>
          <w:highlight w:val="none"/>
        </w:rPr>
        <w:t>投标人承诺书；</w:t>
      </w:r>
    </w:p>
    <w:p>
      <w:pPr>
        <w:pStyle w:val="14"/>
        <w:spacing w:before="6"/>
        <w:rPr>
          <w:color w:val="auto"/>
          <w:sz w:val="15"/>
          <w:highlight w:val="none"/>
        </w:rPr>
      </w:pPr>
    </w:p>
    <w:p>
      <w:pPr>
        <w:numPr>
          <w:ilvl w:val="0"/>
          <w:numId w:val="12"/>
        </w:numPr>
        <w:bidi w:val="0"/>
        <w:rPr>
          <w:color w:val="auto"/>
          <w:highlight w:val="none"/>
        </w:rPr>
      </w:pPr>
      <w:r>
        <w:rPr>
          <w:color w:val="auto"/>
          <w:highlight w:val="none"/>
          <w:lang w:val="zh-CN" w:eastAsia="zh-CN"/>
        </w:rPr>
        <w:t>需要提交的其他投标资料；</w:t>
      </w:r>
    </w:p>
    <w:p>
      <w:pPr>
        <w:pStyle w:val="28"/>
        <w:numPr>
          <w:ilvl w:val="0"/>
          <w:numId w:val="0"/>
        </w:numPr>
        <w:tabs>
          <w:tab w:val="left" w:pos="1616"/>
        </w:tabs>
        <w:spacing w:before="0" w:after="0" w:line="240" w:lineRule="auto"/>
        <w:ind w:left="1090" w:leftChars="0" w:right="0" w:rightChars="0"/>
        <w:jc w:val="left"/>
        <w:rPr>
          <w:color w:val="auto"/>
          <w:sz w:val="21"/>
          <w:highlight w:val="none"/>
        </w:rPr>
      </w:pPr>
    </w:p>
    <w:p>
      <w:pPr>
        <w:pStyle w:val="14"/>
        <w:spacing w:before="7"/>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highlight w:val="none"/>
        </w:rPr>
      </w:pPr>
      <w:r>
        <w:rPr>
          <w:color w:val="auto"/>
          <w:highlight w:val="none"/>
        </w:rPr>
        <w:t>书面商务部分主要包括下列内容：</w:t>
      </w:r>
    </w:p>
    <w:p>
      <w:pPr>
        <w:pStyle w:val="14"/>
        <w:spacing w:before="7"/>
        <w:rPr>
          <w:color w:val="auto"/>
          <w:sz w:val="15"/>
          <w:highlight w:val="none"/>
        </w:rPr>
      </w:pPr>
    </w:p>
    <w:p>
      <w:pPr>
        <w:numPr>
          <w:ilvl w:val="0"/>
          <w:numId w:val="13"/>
        </w:numPr>
        <w:bidi w:val="0"/>
        <w:rPr>
          <w:color w:val="auto"/>
          <w:highlight w:val="none"/>
        </w:rPr>
      </w:pPr>
      <w:r>
        <w:rPr>
          <w:color w:val="auto"/>
          <w:highlight w:val="none"/>
        </w:rPr>
        <w:t>封面。</w:t>
      </w:r>
    </w:p>
    <w:p>
      <w:pPr>
        <w:pStyle w:val="14"/>
        <w:spacing w:before="6"/>
        <w:rPr>
          <w:color w:val="auto"/>
          <w:sz w:val="15"/>
          <w:highlight w:val="none"/>
        </w:rPr>
      </w:pPr>
    </w:p>
    <w:p>
      <w:pPr>
        <w:pStyle w:val="28"/>
        <w:numPr>
          <w:ilvl w:val="0"/>
          <w:numId w:val="13"/>
        </w:numPr>
        <w:tabs>
          <w:tab w:val="left" w:pos="1616"/>
        </w:tabs>
        <w:spacing w:before="1" w:after="0" w:line="240" w:lineRule="auto"/>
        <w:ind w:left="1615" w:right="0" w:hanging="525"/>
        <w:jc w:val="left"/>
        <w:rPr>
          <w:color w:val="auto"/>
          <w:sz w:val="21"/>
          <w:highlight w:val="none"/>
        </w:rPr>
      </w:pPr>
      <w:r>
        <w:rPr>
          <w:rFonts w:ascii="宋体" w:hAnsi="宋体" w:eastAsia="宋体" w:cs="宋体"/>
          <w:color w:val="auto"/>
          <w:sz w:val="22"/>
          <w:szCs w:val="22"/>
          <w:highlight w:val="none"/>
          <w:lang w:val="zh-CN" w:eastAsia="zh-CN" w:bidi="zh-CN"/>
        </w:rPr>
        <w:t>投标总价</w:t>
      </w:r>
    </w:p>
    <w:p>
      <w:pPr>
        <w:pStyle w:val="14"/>
        <w:spacing w:before="6"/>
        <w:rPr>
          <w:color w:val="auto"/>
          <w:sz w:val="15"/>
          <w:highlight w:val="none"/>
        </w:rPr>
      </w:pPr>
    </w:p>
    <w:p>
      <w:pPr>
        <w:numPr>
          <w:ilvl w:val="0"/>
          <w:numId w:val="13"/>
        </w:numPr>
        <w:bidi w:val="0"/>
        <w:rPr>
          <w:color w:val="auto"/>
          <w:highlight w:val="none"/>
        </w:rPr>
      </w:pPr>
      <w:r>
        <w:rPr>
          <w:color w:val="auto"/>
          <w:highlight w:val="none"/>
        </w:rPr>
        <w:t>单位工程投标报价汇总表；</w:t>
      </w:r>
    </w:p>
    <w:p>
      <w:pPr>
        <w:pStyle w:val="14"/>
        <w:spacing w:before="7"/>
        <w:rPr>
          <w:color w:val="auto"/>
          <w:sz w:val="15"/>
          <w:highlight w:val="none"/>
        </w:rPr>
      </w:pPr>
    </w:p>
    <w:p>
      <w:pPr>
        <w:pStyle w:val="28"/>
        <w:numPr>
          <w:ilvl w:val="0"/>
          <w:numId w:val="13"/>
        </w:numPr>
        <w:tabs>
          <w:tab w:val="left" w:pos="1616"/>
        </w:tabs>
        <w:spacing w:before="0" w:after="0" w:line="240" w:lineRule="auto"/>
        <w:ind w:left="1615" w:right="0" w:hanging="525"/>
        <w:jc w:val="left"/>
        <w:rPr>
          <w:color w:val="auto"/>
          <w:sz w:val="21"/>
          <w:highlight w:val="none"/>
        </w:rPr>
      </w:pPr>
      <w:r>
        <w:rPr>
          <w:color w:val="auto"/>
          <w:sz w:val="21"/>
          <w:highlight w:val="none"/>
        </w:rPr>
        <w:t>分</w:t>
      </w:r>
      <w:r>
        <w:rPr>
          <w:rFonts w:ascii="宋体" w:hAnsi="宋体" w:eastAsia="宋体" w:cs="宋体"/>
          <w:color w:val="auto"/>
          <w:sz w:val="22"/>
          <w:szCs w:val="22"/>
          <w:highlight w:val="none"/>
          <w:lang w:val="zh-CN" w:eastAsia="zh-CN" w:bidi="zh-CN"/>
        </w:rPr>
        <w:t>部分项工程和单价措施项目清单与计价表</w:t>
      </w:r>
      <w:r>
        <w:rPr>
          <w:color w:val="auto"/>
          <w:sz w:val="21"/>
          <w:highlight w:val="none"/>
        </w:rPr>
        <w:t>；</w:t>
      </w:r>
    </w:p>
    <w:p>
      <w:pPr>
        <w:pStyle w:val="14"/>
        <w:spacing w:before="7"/>
        <w:rPr>
          <w:color w:val="auto"/>
          <w:sz w:val="15"/>
          <w:highlight w:val="none"/>
        </w:rPr>
      </w:pPr>
    </w:p>
    <w:p>
      <w:pPr>
        <w:numPr>
          <w:ilvl w:val="0"/>
          <w:numId w:val="13"/>
        </w:numPr>
        <w:bidi w:val="0"/>
        <w:rPr>
          <w:color w:val="auto"/>
          <w:highlight w:val="none"/>
        </w:rPr>
      </w:pPr>
      <w:r>
        <w:rPr>
          <w:color w:val="auto"/>
          <w:highlight w:val="none"/>
        </w:rPr>
        <w:t>总价措施项目清单与计价表；</w:t>
      </w:r>
    </w:p>
    <w:p>
      <w:pPr>
        <w:pStyle w:val="14"/>
        <w:spacing w:before="6"/>
        <w:rPr>
          <w:color w:val="auto"/>
          <w:sz w:val="15"/>
          <w:highlight w:val="none"/>
        </w:rPr>
      </w:pPr>
    </w:p>
    <w:p>
      <w:pPr>
        <w:numPr>
          <w:ilvl w:val="0"/>
          <w:numId w:val="13"/>
        </w:numPr>
        <w:bidi w:val="0"/>
        <w:rPr>
          <w:color w:val="auto"/>
          <w:highlight w:val="none"/>
        </w:rPr>
      </w:pPr>
      <w:r>
        <w:rPr>
          <w:color w:val="auto"/>
          <w:highlight w:val="none"/>
        </w:rPr>
        <w:t>其他项目清单与计价汇总表；</w:t>
      </w:r>
    </w:p>
    <w:p>
      <w:pPr>
        <w:pStyle w:val="14"/>
        <w:spacing w:before="6"/>
        <w:rPr>
          <w:color w:val="auto"/>
          <w:sz w:val="15"/>
          <w:highlight w:val="none"/>
        </w:rPr>
      </w:pPr>
    </w:p>
    <w:p>
      <w:pPr>
        <w:numPr>
          <w:ilvl w:val="0"/>
          <w:numId w:val="13"/>
        </w:numPr>
        <w:bidi w:val="0"/>
        <w:rPr>
          <w:color w:val="auto"/>
          <w:highlight w:val="none"/>
        </w:rPr>
      </w:pPr>
      <w:r>
        <w:rPr>
          <w:color w:val="auto"/>
          <w:highlight w:val="none"/>
        </w:rPr>
        <w:t>材料（工程设备）暂估单价及调整表；</w:t>
      </w:r>
    </w:p>
    <w:p>
      <w:pPr>
        <w:pStyle w:val="14"/>
        <w:spacing w:before="7"/>
        <w:rPr>
          <w:color w:val="auto"/>
          <w:sz w:val="15"/>
          <w:highlight w:val="none"/>
        </w:rPr>
      </w:pPr>
    </w:p>
    <w:p>
      <w:pPr>
        <w:numPr>
          <w:ilvl w:val="0"/>
          <w:numId w:val="13"/>
        </w:numPr>
        <w:bidi w:val="0"/>
        <w:rPr>
          <w:color w:val="auto"/>
          <w:highlight w:val="none"/>
        </w:rPr>
      </w:pPr>
      <w:r>
        <w:rPr>
          <w:color w:val="auto"/>
          <w:highlight w:val="none"/>
        </w:rPr>
        <w:t>规费、税金项目清单与计价表；</w:t>
      </w:r>
    </w:p>
    <w:p>
      <w:pPr>
        <w:pStyle w:val="14"/>
        <w:spacing w:before="7"/>
        <w:rPr>
          <w:color w:val="auto"/>
          <w:sz w:val="15"/>
          <w:highlight w:val="none"/>
        </w:rPr>
      </w:pPr>
    </w:p>
    <w:p>
      <w:pPr>
        <w:numPr>
          <w:ilvl w:val="0"/>
          <w:numId w:val="13"/>
        </w:numPr>
        <w:bidi w:val="0"/>
        <w:rPr>
          <w:color w:val="auto"/>
          <w:highlight w:val="none"/>
        </w:rPr>
      </w:pPr>
      <w:r>
        <w:rPr>
          <w:color w:val="auto"/>
          <w:highlight w:val="none"/>
        </w:rPr>
        <w:t>单位工程人材机汇总表；</w:t>
      </w:r>
    </w:p>
    <w:p>
      <w:pPr>
        <w:pStyle w:val="14"/>
        <w:spacing w:before="6"/>
        <w:rPr>
          <w:color w:val="auto"/>
          <w:sz w:val="15"/>
          <w:highlight w:val="none"/>
        </w:rPr>
      </w:pPr>
    </w:p>
    <w:p>
      <w:pPr>
        <w:pStyle w:val="14"/>
        <w:spacing w:before="1" w:line="417" w:lineRule="auto"/>
        <w:ind w:left="671" w:right="955" w:firstLine="420"/>
        <w:rPr>
          <w:color w:val="auto"/>
          <w:highlight w:val="none"/>
        </w:rPr>
      </w:pPr>
      <w:r>
        <w:rPr>
          <w:color w:val="auto"/>
          <w:highlight w:val="none"/>
        </w:rPr>
        <w:t>投标报价需要的其他资料（当投标人填报的可竞争费用，在投标时以低价竞标的，应在投标文件中对此提交相关说明资料和证明，以证明其不低于企业成本）。</w:t>
      </w:r>
    </w:p>
    <w:p>
      <w:pPr>
        <w:pStyle w:val="28"/>
        <w:numPr>
          <w:ilvl w:val="2"/>
          <w:numId w:val="8"/>
        </w:numPr>
        <w:tabs>
          <w:tab w:val="left" w:pos="1931"/>
          <w:tab w:val="left" w:pos="1932"/>
        </w:tabs>
        <w:spacing w:before="0" w:after="0" w:line="269" w:lineRule="exact"/>
        <w:ind w:left="1931" w:right="0" w:hanging="841"/>
        <w:jc w:val="left"/>
        <w:rPr>
          <w:color w:val="auto"/>
          <w:sz w:val="21"/>
          <w:highlight w:val="none"/>
        </w:rPr>
      </w:pPr>
      <w:r>
        <w:rPr>
          <w:color w:val="auto"/>
          <w:highlight w:val="none"/>
        </w:rPr>
        <w:t>电子文件内容：</w:t>
      </w:r>
    </w:p>
    <w:p>
      <w:pPr>
        <w:pStyle w:val="14"/>
        <w:spacing w:before="6"/>
        <w:rPr>
          <w:color w:val="auto"/>
          <w:sz w:val="15"/>
          <w:highlight w:val="none"/>
        </w:rPr>
      </w:pPr>
    </w:p>
    <w:p>
      <w:pPr>
        <w:pStyle w:val="28"/>
        <w:numPr>
          <w:ilvl w:val="0"/>
          <w:numId w:val="14"/>
        </w:numPr>
        <w:tabs>
          <w:tab w:val="left" w:pos="1616"/>
        </w:tabs>
        <w:spacing w:before="0" w:after="0" w:line="240" w:lineRule="auto"/>
        <w:ind w:left="1615" w:right="0" w:hanging="525"/>
        <w:jc w:val="left"/>
        <w:rPr>
          <w:color w:val="auto"/>
          <w:sz w:val="21"/>
          <w:highlight w:val="none"/>
        </w:rPr>
      </w:pPr>
      <w:r>
        <w:rPr>
          <w:color w:val="auto"/>
          <w:highlight w:val="none"/>
        </w:rPr>
        <w:t>电子文件包装袋（外贴封面）；</w:t>
      </w:r>
    </w:p>
    <w:p>
      <w:pPr>
        <w:pStyle w:val="14"/>
        <w:spacing w:before="7"/>
        <w:rPr>
          <w:color w:val="auto"/>
          <w:sz w:val="15"/>
          <w:highlight w:val="none"/>
        </w:rPr>
      </w:pPr>
    </w:p>
    <w:p>
      <w:pPr>
        <w:pStyle w:val="28"/>
        <w:numPr>
          <w:ilvl w:val="0"/>
          <w:numId w:val="14"/>
        </w:numPr>
        <w:tabs>
          <w:tab w:val="left" w:pos="1616"/>
        </w:tabs>
        <w:spacing w:before="0" w:after="0" w:line="417" w:lineRule="auto"/>
        <w:ind w:left="671" w:right="956" w:firstLine="420"/>
        <w:jc w:val="left"/>
        <w:rPr>
          <w:color w:val="auto"/>
          <w:highlight w:val="none"/>
        </w:rPr>
      </w:pPr>
      <w:r>
        <w:rPr>
          <w:color w:val="auto"/>
          <w:highlight w:val="none"/>
        </w:rPr>
        <w:t>电子投标文件（</w:t>
      </w:r>
      <w:r>
        <w:rPr>
          <w:rFonts w:hint="eastAsia"/>
          <w:color w:val="auto"/>
          <w:highlight w:val="none"/>
        </w:rPr>
        <w:t>电子文档存储在U盘中，不加密码</w:t>
      </w:r>
      <w:r>
        <w:rPr>
          <w:color w:val="auto"/>
          <w:highlight w:val="none"/>
        </w:rPr>
        <w:t>，内含所有书面投标文件正本按要求签字盖章后的PDF格式扫描件,以及使用工程造价计价软件编制的电子商务部分，内容不得进行任何删减）。</w:t>
      </w:r>
    </w:p>
    <w:p>
      <w:pPr>
        <w:numPr>
          <w:ilvl w:val="1"/>
          <w:numId w:val="8"/>
        </w:numPr>
        <w:bidi w:val="0"/>
        <w:rPr>
          <w:b/>
          <w:bCs/>
          <w:color w:val="auto"/>
          <w:sz w:val="24"/>
          <w:szCs w:val="24"/>
          <w:highlight w:val="none"/>
        </w:rPr>
      </w:pPr>
      <w:r>
        <w:rPr>
          <w:b/>
          <w:bCs/>
          <w:color w:val="auto"/>
          <w:sz w:val="24"/>
          <w:szCs w:val="24"/>
          <w:highlight w:val="none"/>
        </w:rPr>
        <w:t>投标报价</w:t>
      </w:r>
    </w:p>
    <w:p>
      <w:pPr>
        <w:pStyle w:val="28"/>
        <w:numPr>
          <w:ilvl w:val="2"/>
          <w:numId w:val="8"/>
        </w:numPr>
        <w:tabs>
          <w:tab w:val="left" w:pos="1931"/>
          <w:tab w:val="left" w:pos="1932"/>
        </w:tabs>
        <w:spacing w:before="179" w:after="0" w:line="240" w:lineRule="auto"/>
        <w:ind w:left="1931" w:right="0" w:hanging="841"/>
        <w:jc w:val="left"/>
        <w:rPr>
          <w:color w:val="auto"/>
          <w:sz w:val="21"/>
          <w:highlight w:val="none"/>
        </w:rPr>
      </w:pPr>
      <w:r>
        <w:rPr>
          <w:color w:val="auto"/>
          <w:highlight w:val="none"/>
        </w:rPr>
        <w:t>投标人应按第五章“工程量清单”的要求填写相应表格。</w:t>
      </w:r>
    </w:p>
    <w:p>
      <w:pPr>
        <w:pStyle w:val="14"/>
        <w:spacing w:before="6"/>
        <w:rPr>
          <w:color w:val="auto"/>
          <w:sz w:val="15"/>
          <w:highlight w:val="none"/>
        </w:rPr>
      </w:pPr>
    </w:p>
    <w:p>
      <w:pPr>
        <w:pStyle w:val="28"/>
        <w:numPr>
          <w:ilvl w:val="2"/>
          <w:numId w:val="8"/>
        </w:numPr>
        <w:tabs>
          <w:tab w:val="left" w:pos="1931"/>
          <w:tab w:val="left" w:pos="1932"/>
        </w:tabs>
        <w:spacing w:before="0" w:after="0" w:line="417" w:lineRule="auto"/>
        <w:ind w:left="671" w:right="955" w:firstLine="420"/>
        <w:jc w:val="left"/>
        <w:rPr>
          <w:color w:val="auto"/>
          <w:highlight w:val="none"/>
        </w:rPr>
      </w:pPr>
      <w:r>
        <w:rPr>
          <w:color w:val="auto"/>
          <w:highlight w:val="none"/>
        </w:rPr>
        <w:t>投标人在投标截止时间前修改投标函中的投标总报价，应同时修改第五章“工程量清单”中的相应报价。此修改须符合本章第4.3款的有关要求。</w:t>
      </w:r>
    </w:p>
    <w:p>
      <w:pPr>
        <w:numPr>
          <w:ilvl w:val="1"/>
          <w:numId w:val="8"/>
        </w:numPr>
        <w:bidi w:val="0"/>
        <w:rPr>
          <w:b/>
          <w:bCs/>
          <w:color w:val="auto"/>
          <w:sz w:val="24"/>
          <w:szCs w:val="24"/>
          <w:highlight w:val="none"/>
        </w:rPr>
      </w:pPr>
      <w:r>
        <w:rPr>
          <w:b/>
          <w:bCs/>
          <w:color w:val="auto"/>
          <w:sz w:val="24"/>
          <w:szCs w:val="24"/>
          <w:highlight w:val="none"/>
        </w:rPr>
        <w:t>投标有效期</w:t>
      </w:r>
    </w:p>
    <w:p>
      <w:pPr>
        <w:pStyle w:val="28"/>
        <w:numPr>
          <w:ilvl w:val="2"/>
          <w:numId w:val="8"/>
        </w:numPr>
        <w:tabs>
          <w:tab w:val="left" w:pos="1932"/>
        </w:tabs>
        <w:spacing w:before="179" w:after="0" w:line="240" w:lineRule="auto"/>
        <w:ind w:left="1931" w:right="0" w:hanging="841"/>
        <w:jc w:val="both"/>
        <w:rPr>
          <w:color w:val="auto"/>
          <w:sz w:val="21"/>
          <w:highlight w:val="none"/>
        </w:rPr>
      </w:pPr>
      <w:r>
        <w:rPr>
          <w:color w:val="auto"/>
          <w:highlight w:val="none"/>
        </w:rPr>
        <w:t>在投标人须知前附表规定的投标有效期内，投标人不得要求撤销或修改其投标文件。</w:t>
      </w:r>
    </w:p>
    <w:p>
      <w:pPr>
        <w:pStyle w:val="14"/>
        <w:spacing w:before="6"/>
        <w:rPr>
          <w:color w:val="auto"/>
          <w:sz w:val="15"/>
          <w:highlight w:val="none"/>
        </w:rPr>
      </w:pPr>
    </w:p>
    <w:p>
      <w:pPr>
        <w:pStyle w:val="28"/>
        <w:numPr>
          <w:ilvl w:val="2"/>
          <w:numId w:val="8"/>
        </w:numPr>
        <w:tabs>
          <w:tab w:val="left" w:pos="1932"/>
        </w:tabs>
        <w:spacing w:before="1" w:after="0" w:line="417" w:lineRule="auto"/>
        <w:ind w:left="671" w:right="849" w:firstLine="420"/>
        <w:jc w:val="both"/>
        <w:rPr>
          <w:color w:val="auto"/>
          <w:sz w:val="21"/>
          <w:highlight w:val="none"/>
        </w:rPr>
      </w:pPr>
      <w:r>
        <w:rPr>
          <w:color w:val="auto"/>
          <w:highlight w:val="none"/>
        </w:rPr>
        <w:t>出现特殊情况需要延长投标有效期的，招标人以书面形式通知或电子文件形式网上公布延长投标有效期。投标人同意延长的，应相应延长其投标保证金的有效期，但不得要求或被允许修改或撤销其投标文件；投标人拒绝延长的，其投标失效，但投标人有权收回</w:t>
      </w:r>
      <w:r>
        <w:rPr>
          <w:color w:val="auto"/>
          <w:spacing w:val="-12"/>
          <w:sz w:val="21"/>
          <w:highlight w:val="none"/>
        </w:rPr>
        <w:t>其投标保证金。</w:t>
      </w:r>
    </w:p>
    <w:p>
      <w:pPr>
        <w:numPr>
          <w:ilvl w:val="1"/>
          <w:numId w:val="8"/>
        </w:numPr>
        <w:bidi w:val="0"/>
        <w:rPr>
          <w:b/>
          <w:bCs/>
          <w:color w:val="auto"/>
          <w:sz w:val="24"/>
          <w:szCs w:val="24"/>
          <w:highlight w:val="none"/>
        </w:rPr>
      </w:pPr>
      <w:r>
        <w:rPr>
          <w:b/>
          <w:bCs/>
          <w:color w:val="auto"/>
          <w:sz w:val="24"/>
          <w:szCs w:val="24"/>
          <w:highlight w:val="none"/>
        </w:rPr>
        <w:t>投标保证金</w:t>
      </w:r>
    </w:p>
    <w:p>
      <w:pPr>
        <w:pStyle w:val="28"/>
        <w:numPr>
          <w:ilvl w:val="2"/>
          <w:numId w:val="8"/>
        </w:numPr>
        <w:tabs>
          <w:tab w:val="left" w:pos="1932"/>
        </w:tabs>
        <w:spacing w:before="178" w:after="0" w:line="417" w:lineRule="auto"/>
        <w:ind w:left="671" w:right="955" w:firstLine="420"/>
        <w:jc w:val="both"/>
        <w:rPr>
          <w:color w:val="auto"/>
          <w:highlight w:val="none"/>
        </w:rPr>
      </w:pPr>
      <w:r>
        <w:rPr>
          <w:color w:val="auto"/>
          <w:highlight w:val="none"/>
        </w:rPr>
        <w:t>投标人在递交投标文件的同时，应按投标人须知前附表规定的金额、担保形式、到账时限规定递交投标保证金，并作为其投标文件的组成部分。</w:t>
      </w:r>
    </w:p>
    <w:p>
      <w:pPr>
        <w:pStyle w:val="28"/>
        <w:numPr>
          <w:ilvl w:val="2"/>
          <w:numId w:val="8"/>
        </w:numPr>
        <w:tabs>
          <w:tab w:val="left" w:pos="1932"/>
        </w:tabs>
        <w:spacing w:before="0" w:after="0" w:line="269" w:lineRule="exact"/>
        <w:ind w:left="1931" w:right="0" w:hanging="841"/>
        <w:jc w:val="both"/>
        <w:rPr>
          <w:color w:val="auto"/>
          <w:sz w:val="21"/>
          <w:highlight w:val="none"/>
        </w:rPr>
      </w:pPr>
      <w:r>
        <w:rPr>
          <w:color w:val="auto"/>
          <w:highlight w:val="none"/>
        </w:rPr>
        <w:t>投标人不按本章第3.4.1项要求提交投标保证金的，其投标文件作废标处理。</w:t>
      </w:r>
    </w:p>
    <w:p>
      <w:pPr>
        <w:pStyle w:val="28"/>
        <w:numPr>
          <w:ilvl w:val="2"/>
          <w:numId w:val="8"/>
        </w:numPr>
        <w:tabs>
          <w:tab w:val="left" w:pos="1825"/>
          <w:tab w:val="left" w:pos="1826"/>
        </w:tabs>
        <w:spacing w:before="58" w:after="0" w:line="417" w:lineRule="auto"/>
        <w:ind w:left="671" w:right="849" w:firstLine="420"/>
        <w:jc w:val="left"/>
        <w:rPr>
          <w:color w:val="auto"/>
          <w:highlight w:val="none"/>
        </w:rPr>
      </w:pPr>
      <w:r>
        <w:rPr>
          <w:color w:val="auto"/>
          <w:highlight w:val="none"/>
        </w:rPr>
        <w:t>对于采用投标须知前附表3.4.1中方式一缴纳的投标保证金，</w:t>
      </w:r>
      <w:r>
        <w:rPr>
          <w:rFonts w:hint="eastAsia"/>
          <w:color w:val="auto"/>
          <w:highlight w:val="none"/>
          <w:lang w:val="en-US" w:eastAsia="zh-CN"/>
        </w:rPr>
        <w:t>招标代理机构</w:t>
      </w:r>
      <w:r>
        <w:rPr>
          <w:color w:val="auto"/>
          <w:highlight w:val="none"/>
        </w:rPr>
        <w:t>在中标通知书发出之日起5日内将投标保证金退回中标候选人以外的投标人，招标人应于书面合同签订当日将该信息告知</w:t>
      </w:r>
      <w:r>
        <w:rPr>
          <w:rFonts w:hint="eastAsia"/>
          <w:color w:val="auto"/>
          <w:highlight w:val="none"/>
          <w:lang w:val="en-US" w:eastAsia="zh-CN"/>
        </w:rPr>
        <w:t>招标代理机构</w:t>
      </w:r>
      <w:r>
        <w:rPr>
          <w:color w:val="auto"/>
          <w:highlight w:val="none"/>
        </w:rPr>
        <w:t>。中标人应于书面合同签订后</w:t>
      </w:r>
      <w:r>
        <w:rPr>
          <w:rFonts w:hint="eastAsia"/>
          <w:color w:val="auto"/>
          <w:highlight w:val="none"/>
          <w:lang w:val="en-US" w:eastAsia="zh-CN"/>
        </w:rPr>
        <w:t>2</w:t>
      </w:r>
      <w:r>
        <w:rPr>
          <w:color w:val="auto"/>
          <w:highlight w:val="none"/>
        </w:rPr>
        <w:t>日内</w:t>
      </w:r>
      <w:r>
        <w:rPr>
          <w:rFonts w:hint="eastAsia"/>
          <w:color w:val="auto"/>
          <w:highlight w:val="none"/>
          <w:lang w:val="en-US" w:eastAsia="zh-CN"/>
        </w:rPr>
        <w:t>向招标代理递交一份合同原件备案</w:t>
      </w:r>
      <w:r>
        <w:rPr>
          <w:color w:val="0000FF"/>
          <w:highlight w:val="none"/>
        </w:rPr>
        <w:t>，</w:t>
      </w:r>
      <w:r>
        <w:rPr>
          <w:rFonts w:hint="eastAsia"/>
          <w:color w:val="auto"/>
          <w:highlight w:val="none"/>
          <w:lang w:val="en-US" w:eastAsia="zh-CN"/>
        </w:rPr>
        <w:t>招标代理机构</w:t>
      </w:r>
      <w:r>
        <w:rPr>
          <w:color w:val="auto"/>
          <w:highlight w:val="none"/>
        </w:rPr>
        <w:t>将在中标人</w:t>
      </w:r>
      <w:r>
        <w:rPr>
          <w:rFonts w:hint="eastAsia"/>
          <w:color w:val="auto"/>
          <w:highlight w:val="none"/>
          <w:lang w:val="en-US" w:eastAsia="zh-CN"/>
        </w:rPr>
        <w:t>递交合同</w:t>
      </w:r>
      <w:r>
        <w:rPr>
          <w:color w:val="auto"/>
          <w:highlight w:val="none"/>
        </w:rPr>
        <w:t>后5日内将投标保证金退回中标人</w:t>
      </w:r>
      <w:r>
        <w:rPr>
          <w:rFonts w:hint="eastAsia"/>
          <w:color w:val="auto"/>
          <w:highlight w:val="none"/>
          <w:lang w:eastAsia="zh-CN"/>
        </w:rPr>
        <w:t>；</w:t>
      </w:r>
      <w:r>
        <w:rPr>
          <w:color w:val="auto"/>
          <w:highlight w:val="none"/>
        </w:rPr>
        <w:t>或在中标通知书发出之日起30日内将投标保证金退回候选人。法律、行政法规规定不予退还或者可以不退还投标保证金的，从其规定。</w:t>
      </w:r>
    </w:p>
    <w:p>
      <w:pPr>
        <w:pStyle w:val="28"/>
        <w:numPr>
          <w:ilvl w:val="2"/>
          <w:numId w:val="8"/>
        </w:numPr>
        <w:tabs>
          <w:tab w:val="left" w:pos="1825"/>
          <w:tab w:val="left" w:pos="1826"/>
        </w:tabs>
        <w:spacing w:before="0" w:after="0" w:line="268" w:lineRule="exact"/>
        <w:ind w:left="1825" w:right="0" w:hanging="735"/>
        <w:jc w:val="left"/>
        <w:rPr>
          <w:color w:val="auto"/>
          <w:highlight w:val="none"/>
        </w:rPr>
      </w:pPr>
      <w:r>
        <w:rPr>
          <w:color w:val="auto"/>
          <w:highlight w:val="none"/>
        </w:rPr>
        <w:t>有下列情形之一的，投标保证金将不予退还:</w:t>
      </w:r>
    </w:p>
    <w:p>
      <w:pPr>
        <w:pStyle w:val="14"/>
        <w:spacing w:before="7"/>
        <w:rPr>
          <w:color w:val="auto"/>
          <w:sz w:val="15"/>
          <w:highlight w:val="none"/>
        </w:rPr>
      </w:pPr>
    </w:p>
    <w:p>
      <w:pPr>
        <w:pStyle w:val="14"/>
        <w:spacing w:line="417" w:lineRule="auto"/>
        <w:ind w:left="1091" w:right="3992"/>
        <w:rPr>
          <w:color w:val="auto"/>
          <w:highlight w:val="none"/>
        </w:rPr>
      </w:pPr>
      <w:r>
        <w:rPr>
          <w:color w:val="auto"/>
          <w:w w:val="95"/>
          <w:highlight w:val="none"/>
        </w:rPr>
        <w:t>(1)</w:t>
      </w:r>
      <w:r>
        <w:rPr>
          <w:color w:val="auto"/>
          <w:highlight w:val="none"/>
        </w:rPr>
        <w:t>投标人在规定的投标有效期内撤销或修改其投标文件；</w:t>
      </w:r>
      <w:r>
        <w:rPr>
          <w:color w:val="auto"/>
          <w:w w:val="95"/>
          <w:highlight w:val="none"/>
        </w:rPr>
        <w:t xml:space="preserve"> </w:t>
      </w:r>
      <w:r>
        <w:rPr>
          <w:color w:val="auto"/>
          <w:highlight w:val="none"/>
        </w:rPr>
        <w:t>(2)投标人提供了虚假的证明材料；</w:t>
      </w:r>
    </w:p>
    <w:p>
      <w:pPr>
        <w:pStyle w:val="28"/>
        <w:numPr>
          <w:ilvl w:val="0"/>
          <w:numId w:val="15"/>
        </w:numPr>
        <w:tabs>
          <w:tab w:val="left" w:pos="1408"/>
        </w:tabs>
        <w:spacing w:before="0" w:after="0" w:line="269" w:lineRule="exact"/>
        <w:ind w:left="1407" w:right="0" w:hanging="317"/>
        <w:jc w:val="left"/>
        <w:rPr>
          <w:color w:val="auto"/>
          <w:sz w:val="21"/>
          <w:highlight w:val="none"/>
        </w:rPr>
      </w:pPr>
      <w:r>
        <w:rPr>
          <w:color w:val="auto"/>
          <w:highlight w:val="none"/>
        </w:rPr>
        <w:t>中标候选人放弃中标；</w:t>
      </w:r>
    </w:p>
    <w:p>
      <w:pPr>
        <w:pStyle w:val="14"/>
        <w:spacing w:before="7"/>
        <w:rPr>
          <w:color w:val="auto"/>
          <w:sz w:val="15"/>
          <w:highlight w:val="none"/>
        </w:rPr>
      </w:pPr>
    </w:p>
    <w:p>
      <w:pPr>
        <w:pStyle w:val="28"/>
        <w:numPr>
          <w:ilvl w:val="0"/>
          <w:numId w:val="15"/>
        </w:numPr>
        <w:tabs>
          <w:tab w:val="left" w:pos="1408"/>
        </w:tabs>
        <w:spacing w:before="0" w:after="0" w:line="240" w:lineRule="auto"/>
        <w:ind w:left="1407" w:right="0" w:hanging="317"/>
        <w:jc w:val="left"/>
        <w:rPr>
          <w:color w:val="auto"/>
          <w:highlight w:val="none"/>
        </w:rPr>
      </w:pPr>
      <w:r>
        <w:rPr>
          <w:color w:val="auto"/>
          <w:highlight w:val="none"/>
        </w:rPr>
        <w:t>中标人在收到中标通知书后，无正当理由拒签合同协议书或未按招标文件规定提交履约担</w:t>
      </w:r>
    </w:p>
    <w:p>
      <w:pPr>
        <w:pStyle w:val="14"/>
        <w:spacing w:before="6"/>
        <w:rPr>
          <w:color w:val="auto"/>
          <w:sz w:val="15"/>
          <w:highlight w:val="none"/>
        </w:rPr>
      </w:pPr>
    </w:p>
    <w:p>
      <w:pPr>
        <w:bidi w:val="0"/>
        <w:ind w:firstLine="880" w:firstLineChars="400"/>
        <w:rPr>
          <w:color w:val="auto"/>
          <w:highlight w:val="none"/>
        </w:rPr>
      </w:pPr>
      <w:r>
        <w:rPr>
          <w:color w:val="auto"/>
          <w:highlight w:val="none"/>
        </w:rPr>
        <w:t>保。</w:t>
      </w:r>
    </w:p>
    <w:p>
      <w:pPr>
        <w:pStyle w:val="14"/>
        <w:spacing w:before="1"/>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资格审查资料（适用于未进行资格预审的）</w:t>
      </w:r>
    </w:p>
    <w:p>
      <w:pPr>
        <w:pStyle w:val="14"/>
        <w:spacing w:before="179"/>
        <w:ind w:left="1511"/>
        <w:rPr>
          <w:color w:val="auto"/>
          <w:highlight w:val="none"/>
        </w:rPr>
      </w:pPr>
      <w:r>
        <w:rPr>
          <w:color w:val="auto"/>
          <w:highlight w:val="none"/>
        </w:rPr>
        <w:t>须符合投标人须知前附表开标程序的规定。</w:t>
      </w:r>
    </w:p>
    <w:p>
      <w:pPr>
        <w:pStyle w:val="14"/>
        <w:spacing w:before="1"/>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备选投标方案</w:t>
      </w:r>
    </w:p>
    <w:p>
      <w:pPr>
        <w:pStyle w:val="14"/>
        <w:spacing w:before="179" w:line="417" w:lineRule="auto"/>
        <w:ind w:left="671" w:right="955" w:firstLine="420"/>
        <w:jc w:val="both"/>
        <w:rPr>
          <w:color w:val="auto"/>
          <w:highlight w:val="none"/>
        </w:rPr>
      </w:pPr>
      <w:r>
        <w:rPr>
          <w:color w:val="auto"/>
          <w:highlight w:val="none"/>
        </w:rPr>
        <w:t>除投标人须知前附表另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numPr>
          <w:ilvl w:val="1"/>
          <w:numId w:val="8"/>
        </w:numPr>
        <w:bidi w:val="0"/>
        <w:rPr>
          <w:b/>
          <w:bCs/>
          <w:color w:val="auto"/>
          <w:sz w:val="24"/>
          <w:szCs w:val="24"/>
          <w:highlight w:val="none"/>
        </w:rPr>
      </w:pPr>
      <w:r>
        <w:rPr>
          <w:b/>
          <w:bCs/>
          <w:color w:val="auto"/>
          <w:sz w:val="24"/>
          <w:szCs w:val="24"/>
          <w:highlight w:val="none"/>
        </w:rPr>
        <w:t>投标文件的编制</w:t>
      </w:r>
    </w:p>
    <w:p>
      <w:pPr>
        <w:pStyle w:val="28"/>
        <w:numPr>
          <w:ilvl w:val="2"/>
          <w:numId w:val="8"/>
        </w:numPr>
        <w:tabs>
          <w:tab w:val="left" w:pos="1932"/>
        </w:tabs>
        <w:spacing w:before="178" w:after="0" w:line="417" w:lineRule="auto"/>
        <w:ind w:left="671" w:right="955" w:firstLine="420"/>
        <w:jc w:val="both"/>
        <w:rPr>
          <w:color w:val="auto"/>
          <w:highlight w:val="none"/>
        </w:rPr>
      </w:pPr>
      <w:r>
        <w:rPr>
          <w:color w:val="auto"/>
          <w:highlight w:val="none"/>
        </w:rPr>
        <w:t>投标文件应按第八章“投标文件格式”进行编写，如有必要，可以增加附页，作为投标文件的组成部分。其中，投标函附录在满足招标文件实质性要求的基础上，可以提出比招标文件要求更有利于招标人的承诺。</w:t>
      </w:r>
    </w:p>
    <w:p>
      <w:pPr>
        <w:pStyle w:val="28"/>
        <w:numPr>
          <w:ilvl w:val="2"/>
          <w:numId w:val="8"/>
        </w:numPr>
        <w:tabs>
          <w:tab w:val="left" w:pos="1932"/>
        </w:tabs>
        <w:spacing w:before="0" w:after="0" w:line="417" w:lineRule="auto"/>
        <w:ind w:left="671" w:right="955" w:firstLine="420"/>
        <w:jc w:val="both"/>
        <w:rPr>
          <w:color w:val="auto"/>
          <w:highlight w:val="none"/>
        </w:rPr>
      </w:pPr>
      <w:r>
        <w:rPr>
          <w:color w:val="auto"/>
          <w:highlight w:val="none"/>
        </w:rPr>
        <w:t>投标文件应当对招标文件有关工期、投标有效期、质量要求、技术标准和要求、招标范围等实质性内容作出响应。</w:t>
      </w:r>
    </w:p>
    <w:p>
      <w:pPr>
        <w:pStyle w:val="28"/>
        <w:numPr>
          <w:ilvl w:val="2"/>
          <w:numId w:val="8"/>
        </w:numPr>
        <w:tabs>
          <w:tab w:val="left" w:pos="1932"/>
        </w:tabs>
        <w:spacing w:before="0" w:after="0" w:line="417" w:lineRule="auto"/>
        <w:ind w:left="671" w:right="955" w:firstLine="420"/>
        <w:jc w:val="both"/>
        <w:rPr>
          <w:color w:val="auto"/>
          <w:sz w:val="21"/>
          <w:highlight w:val="none"/>
        </w:rPr>
      </w:pPr>
      <w:r>
        <w:rPr>
          <w:color w:val="auto"/>
          <w:highlight w:val="none"/>
        </w:rPr>
        <w:t>投标文件应用不褪色的材料书写或打印，并由投标人的法定代表人或其委托代理人签字或盖单位章。投标人的法定代表人授权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pStyle w:val="28"/>
        <w:numPr>
          <w:ilvl w:val="2"/>
          <w:numId w:val="8"/>
        </w:numPr>
        <w:tabs>
          <w:tab w:val="left" w:pos="1931"/>
          <w:tab w:val="left" w:pos="1932"/>
        </w:tabs>
        <w:spacing w:before="58" w:after="0" w:line="417" w:lineRule="auto"/>
        <w:ind w:left="671" w:right="955" w:firstLine="420"/>
        <w:jc w:val="left"/>
        <w:rPr>
          <w:color w:val="auto"/>
          <w:sz w:val="21"/>
          <w:highlight w:val="none"/>
        </w:rPr>
      </w:pPr>
      <w:r>
        <w:rPr>
          <w:color w:val="auto"/>
          <w:highlight w:val="none"/>
        </w:rPr>
        <w:t>投标文件正本一份,副本份数见投标人须知前附表。书面正本和书面副本的封面上应清楚地标记“正本”或“副本”的字样。当书面副本和书面正本不一致时，以书面正本为准。</w:t>
      </w:r>
    </w:p>
    <w:p>
      <w:pPr>
        <w:pStyle w:val="28"/>
        <w:numPr>
          <w:ilvl w:val="2"/>
          <w:numId w:val="8"/>
        </w:numPr>
        <w:tabs>
          <w:tab w:val="left" w:pos="1931"/>
          <w:tab w:val="left" w:pos="1932"/>
        </w:tabs>
        <w:spacing w:before="0" w:after="0" w:line="269" w:lineRule="exact"/>
        <w:ind w:left="1931" w:right="0" w:hanging="841"/>
        <w:jc w:val="left"/>
        <w:rPr>
          <w:color w:val="auto"/>
          <w:sz w:val="21"/>
          <w:highlight w:val="none"/>
        </w:rPr>
      </w:pPr>
      <w:r>
        <w:rPr>
          <w:color w:val="auto"/>
          <w:highlight w:val="none"/>
        </w:rPr>
        <w:t>投标文件的正本与副本应分别装订成册，具体装订要求见投标人须知前附表规定。</w:t>
      </w:r>
    </w:p>
    <w:p>
      <w:pPr>
        <w:pStyle w:val="14"/>
        <w:spacing w:before="2"/>
        <w:rPr>
          <w:color w:val="auto"/>
          <w:sz w:val="14"/>
          <w:highlight w:val="none"/>
        </w:rPr>
      </w:pPr>
    </w:p>
    <w:p>
      <w:pPr>
        <w:numPr>
          <w:ilvl w:val="0"/>
          <w:numId w:val="8"/>
        </w:numPr>
        <w:bidi w:val="0"/>
        <w:rPr>
          <w:b/>
          <w:bCs/>
          <w:color w:val="auto"/>
          <w:sz w:val="24"/>
          <w:szCs w:val="24"/>
          <w:highlight w:val="none"/>
        </w:rPr>
      </w:pPr>
      <w:r>
        <w:rPr>
          <w:b/>
          <w:bCs/>
          <w:color w:val="auto"/>
          <w:sz w:val="24"/>
          <w:szCs w:val="24"/>
          <w:highlight w:val="none"/>
        </w:rPr>
        <w:t>投标</w:t>
      </w:r>
    </w:p>
    <w:p>
      <w:pPr>
        <w:numPr>
          <w:ilvl w:val="1"/>
          <w:numId w:val="8"/>
        </w:numPr>
        <w:bidi w:val="0"/>
        <w:rPr>
          <w:b/>
          <w:bCs/>
          <w:color w:val="auto"/>
          <w:sz w:val="24"/>
          <w:szCs w:val="24"/>
          <w:highlight w:val="none"/>
        </w:rPr>
      </w:pPr>
      <w:r>
        <w:rPr>
          <w:b/>
          <w:bCs/>
          <w:color w:val="auto"/>
          <w:sz w:val="24"/>
          <w:szCs w:val="24"/>
          <w:highlight w:val="none"/>
        </w:rPr>
        <w:t>投标文件的密封和标记</w:t>
      </w:r>
    </w:p>
    <w:p>
      <w:pPr>
        <w:pStyle w:val="28"/>
        <w:numPr>
          <w:ilvl w:val="2"/>
          <w:numId w:val="8"/>
        </w:numPr>
        <w:tabs>
          <w:tab w:val="left" w:pos="1931"/>
          <w:tab w:val="left" w:pos="1932"/>
        </w:tabs>
        <w:spacing w:before="179" w:after="0" w:line="240" w:lineRule="auto"/>
        <w:ind w:left="1931" w:right="0" w:hanging="841"/>
        <w:jc w:val="left"/>
        <w:rPr>
          <w:color w:val="auto"/>
          <w:highlight w:val="none"/>
        </w:rPr>
      </w:pPr>
      <w:r>
        <w:rPr>
          <w:color w:val="auto"/>
          <w:highlight w:val="none"/>
        </w:rPr>
        <w:t>投标文件的密封和标记见投标人须知前附表。</w:t>
      </w:r>
    </w:p>
    <w:p>
      <w:pPr>
        <w:pStyle w:val="14"/>
        <w:spacing w:before="6"/>
        <w:rPr>
          <w:color w:val="auto"/>
          <w:sz w:val="15"/>
          <w:highlight w:val="none"/>
        </w:rPr>
      </w:pPr>
    </w:p>
    <w:p>
      <w:pPr>
        <w:pStyle w:val="28"/>
        <w:numPr>
          <w:ilvl w:val="2"/>
          <w:numId w:val="8"/>
        </w:numPr>
        <w:tabs>
          <w:tab w:val="left" w:pos="1931"/>
          <w:tab w:val="left" w:pos="1932"/>
        </w:tabs>
        <w:spacing w:before="1" w:after="0" w:line="240" w:lineRule="auto"/>
        <w:ind w:left="1931" w:right="0" w:hanging="841"/>
        <w:jc w:val="left"/>
        <w:rPr>
          <w:color w:val="auto"/>
          <w:highlight w:val="none"/>
        </w:rPr>
      </w:pPr>
      <w:r>
        <w:rPr>
          <w:color w:val="auto"/>
          <w:highlight w:val="none"/>
        </w:rPr>
        <w:t>投标文件的封套上应写明的其他内容见投标人须知前附表。</w:t>
      </w:r>
    </w:p>
    <w:p>
      <w:pPr>
        <w:pStyle w:val="14"/>
        <w:spacing w:before="6"/>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sz w:val="21"/>
          <w:highlight w:val="none"/>
        </w:rPr>
      </w:pPr>
      <w:r>
        <w:rPr>
          <w:color w:val="auto"/>
          <w:highlight w:val="none"/>
        </w:rPr>
        <w:t>未按本章要求密封和加写标记的投标文件，招标人不予受理。</w:t>
      </w:r>
    </w:p>
    <w:p>
      <w:pPr>
        <w:pStyle w:val="14"/>
        <w:spacing w:before="2"/>
        <w:rPr>
          <w:color w:val="auto"/>
          <w:sz w:val="14"/>
          <w:highlight w:val="none"/>
        </w:rPr>
      </w:pPr>
    </w:p>
    <w:p>
      <w:pPr>
        <w:numPr>
          <w:ilvl w:val="1"/>
          <w:numId w:val="8"/>
        </w:numPr>
        <w:bidi w:val="0"/>
        <w:rPr>
          <w:color w:val="auto"/>
          <w:highlight w:val="none"/>
        </w:rPr>
      </w:pPr>
      <w:r>
        <w:rPr>
          <w:b/>
          <w:bCs/>
          <w:color w:val="auto"/>
          <w:sz w:val="24"/>
          <w:szCs w:val="24"/>
          <w:highlight w:val="none"/>
        </w:rPr>
        <w:t>投标文件的递交</w:t>
      </w:r>
    </w:p>
    <w:p>
      <w:pPr>
        <w:pStyle w:val="28"/>
        <w:numPr>
          <w:ilvl w:val="2"/>
          <w:numId w:val="8"/>
        </w:numPr>
        <w:tabs>
          <w:tab w:val="left" w:pos="1931"/>
          <w:tab w:val="left" w:pos="1932"/>
        </w:tabs>
        <w:spacing w:before="178" w:after="0" w:line="240" w:lineRule="auto"/>
        <w:ind w:left="1931" w:right="0" w:hanging="841"/>
        <w:jc w:val="left"/>
        <w:rPr>
          <w:color w:val="auto"/>
          <w:highlight w:val="none"/>
        </w:rPr>
      </w:pPr>
      <w:r>
        <w:rPr>
          <w:color w:val="auto"/>
          <w:highlight w:val="none"/>
        </w:rPr>
        <w:t>投标人应在本章规定的投标截止时间前递交投标文件。</w:t>
      </w:r>
    </w:p>
    <w:p>
      <w:pPr>
        <w:pStyle w:val="14"/>
        <w:spacing w:before="7"/>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highlight w:val="none"/>
        </w:rPr>
      </w:pPr>
      <w:r>
        <w:rPr>
          <w:color w:val="auto"/>
          <w:highlight w:val="none"/>
        </w:rPr>
        <w:t>投标人递交投标文件的地点：见投标人须知前附表。</w:t>
      </w:r>
    </w:p>
    <w:p>
      <w:pPr>
        <w:pStyle w:val="14"/>
        <w:spacing w:before="7"/>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sz w:val="21"/>
          <w:highlight w:val="none"/>
        </w:rPr>
      </w:pPr>
      <w:r>
        <w:rPr>
          <w:color w:val="auto"/>
          <w:highlight w:val="none"/>
        </w:rPr>
        <w:t>除投标人须知前附表另有规定外，投标人所递交的投标文件不予退还。</w:t>
      </w:r>
    </w:p>
    <w:p>
      <w:pPr>
        <w:pStyle w:val="14"/>
        <w:spacing w:before="6"/>
        <w:rPr>
          <w:color w:val="auto"/>
          <w:sz w:val="15"/>
          <w:highlight w:val="none"/>
        </w:rPr>
      </w:pPr>
    </w:p>
    <w:p>
      <w:pPr>
        <w:pStyle w:val="28"/>
        <w:numPr>
          <w:ilvl w:val="2"/>
          <w:numId w:val="8"/>
        </w:numPr>
        <w:tabs>
          <w:tab w:val="left" w:pos="1931"/>
          <w:tab w:val="left" w:pos="1932"/>
        </w:tabs>
        <w:spacing w:before="1" w:after="0" w:line="240" w:lineRule="auto"/>
        <w:ind w:left="1931" w:right="0" w:hanging="841"/>
        <w:jc w:val="left"/>
        <w:rPr>
          <w:color w:val="auto"/>
          <w:sz w:val="21"/>
          <w:highlight w:val="none"/>
        </w:rPr>
      </w:pPr>
      <w:r>
        <w:rPr>
          <w:color w:val="auto"/>
          <w:highlight w:val="none"/>
        </w:rPr>
        <w:t>招标人收到投标文件后，应在投标文件递交签到表上签名确认。</w:t>
      </w:r>
    </w:p>
    <w:p>
      <w:pPr>
        <w:pStyle w:val="14"/>
        <w:spacing w:before="6"/>
        <w:rPr>
          <w:color w:val="auto"/>
          <w:sz w:val="15"/>
          <w:highlight w:val="none"/>
        </w:rPr>
      </w:pPr>
    </w:p>
    <w:p>
      <w:pPr>
        <w:pStyle w:val="28"/>
        <w:numPr>
          <w:ilvl w:val="2"/>
          <w:numId w:val="8"/>
        </w:numPr>
        <w:tabs>
          <w:tab w:val="left" w:pos="1931"/>
          <w:tab w:val="left" w:pos="1932"/>
        </w:tabs>
        <w:spacing w:before="0" w:after="0" w:line="240" w:lineRule="auto"/>
        <w:ind w:left="1931" w:right="0" w:hanging="841"/>
        <w:jc w:val="left"/>
        <w:rPr>
          <w:color w:val="auto"/>
          <w:sz w:val="21"/>
          <w:highlight w:val="none"/>
        </w:rPr>
      </w:pPr>
      <w:r>
        <w:rPr>
          <w:color w:val="auto"/>
          <w:highlight w:val="none"/>
        </w:rPr>
        <w:t>逾期送达的或者未送达指定地点的投标文件，招标人不予受理。</w:t>
      </w:r>
    </w:p>
    <w:p>
      <w:pPr>
        <w:pStyle w:val="14"/>
        <w:spacing w:before="2"/>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投标文件的修改与撤回</w:t>
      </w:r>
    </w:p>
    <w:p>
      <w:pPr>
        <w:pStyle w:val="28"/>
        <w:numPr>
          <w:ilvl w:val="2"/>
          <w:numId w:val="8"/>
        </w:numPr>
        <w:tabs>
          <w:tab w:val="left" w:pos="1931"/>
          <w:tab w:val="left" w:pos="1932"/>
        </w:tabs>
        <w:spacing w:before="178" w:after="0" w:line="417" w:lineRule="auto"/>
        <w:ind w:left="671" w:right="955" w:firstLine="420"/>
        <w:jc w:val="left"/>
        <w:rPr>
          <w:color w:val="auto"/>
          <w:highlight w:val="none"/>
        </w:rPr>
      </w:pPr>
      <w:r>
        <w:rPr>
          <w:color w:val="auto"/>
          <w:highlight w:val="none"/>
        </w:rPr>
        <w:t>在本章规定的投标截止时间前，投标人可以修改或撤回已递交的投标文件，但应以书面形式通知招标人。</w:t>
      </w:r>
    </w:p>
    <w:p>
      <w:pPr>
        <w:pStyle w:val="28"/>
        <w:numPr>
          <w:ilvl w:val="2"/>
          <w:numId w:val="8"/>
        </w:numPr>
        <w:tabs>
          <w:tab w:val="left" w:pos="1931"/>
          <w:tab w:val="left" w:pos="1932"/>
        </w:tabs>
        <w:spacing w:before="0" w:after="0" w:line="417" w:lineRule="auto"/>
        <w:ind w:left="671" w:right="955" w:firstLine="420"/>
        <w:jc w:val="left"/>
        <w:rPr>
          <w:color w:val="auto"/>
          <w:highlight w:val="none"/>
        </w:rPr>
      </w:pPr>
      <w:r>
        <w:rPr>
          <w:color w:val="auto"/>
          <w:highlight w:val="none"/>
        </w:rPr>
        <w:t>投标人修改或撤回已递交投标文件的书面通知应按照本章的要求签字或盖章。招标人收到书面通知后，向投标人出具签收凭证。</w:t>
      </w:r>
    </w:p>
    <w:p>
      <w:pPr>
        <w:pStyle w:val="28"/>
        <w:numPr>
          <w:ilvl w:val="2"/>
          <w:numId w:val="8"/>
        </w:numPr>
        <w:tabs>
          <w:tab w:val="left" w:pos="1931"/>
          <w:tab w:val="left" w:pos="1932"/>
        </w:tabs>
        <w:spacing w:before="0" w:after="0" w:line="417" w:lineRule="auto"/>
        <w:ind w:left="671" w:right="955" w:firstLine="420"/>
        <w:jc w:val="left"/>
        <w:rPr>
          <w:color w:val="auto"/>
          <w:sz w:val="21"/>
          <w:highlight w:val="none"/>
        </w:rPr>
      </w:pPr>
      <w:r>
        <w:rPr>
          <w:color w:val="auto"/>
          <w:highlight w:val="none"/>
        </w:rPr>
        <w:t>修改的内容为投标文件的组成部分。修改的投标文件应按照本章第3条、第4条规定进行编制、密封、标记和递交，并标明“修改”字样。</w:t>
      </w:r>
    </w:p>
    <w:p>
      <w:pPr>
        <w:numPr>
          <w:ilvl w:val="0"/>
          <w:numId w:val="8"/>
        </w:numPr>
        <w:bidi w:val="0"/>
        <w:rPr>
          <w:color w:val="auto"/>
          <w:highlight w:val="none"/>
        </w:rPr>
      </w:pPr>
      <w:r>
        <w:rPr>
          <w:b/>
          <w:bCs/>
          <w:color w:val="auto"/>
          <w:sz w:val="24"/>
          <w:szCs w:val="24"/>
          <w:highlight w:val="none"/>
        </w:rPr>
        <w:t>开标</w:t>
      </w:r>
    </w:p>
    <w:p>
      <w:pPr>
        <w:numPr>
          <w:ilvl w:val="1"/>
          <w:numId w:val="8"/>
        </w:numPr>
        <w:bidi w:val="0"/>
        <w:rPr>
          <w:b/>
          <w:bCs/>
          <w:color w:val="auto"/>
          <w:sz w:val="24"/>
          <w:szCs w:val="24"/>
          <w:highlight w:val="none"/>
        </w:rPr>
      </w:pPr>
      <w:r>
        <w:rPr>
          <w:b/>
          <w:bCs/>
          <w:color w:val="auto"/>
          <w:sz w:val="24"/>
          <w:szCs w:val="24"/>
          <w:highlight w:val="none"/>
        </w:rPr>
        <w:t>开标时间和地点</w:t>
      </w:r>
    </w:p>
    <w:p>
      <w:pPr>
        <w:pStyle w:val="14"/>
        <w:spacing w:before="179" w:line="417" w:lineRule="auto"/>
        <w:ind w:left="671" w:right="955" w:firstLine="420"/>
        <w:rPr>
          <w:color w:val="auto"/>
          <w:highlight w:val="none"/>
        </w:rPr>
      </w:pPr>
      <w:r>
        <w:rPr>
          <w:color w:val="auto"/>
          <w:highlight w:val="none"/>
        </w:rPr>
        <w:t>招标人在本章规定的投标截止时间（开标时间）和投标人须知前附表规定的地点公开开标</w:t>
      </w:r>
      <w:r>
        <w:rPr>
          <w:color w:val="auto"/>
          <w:w w:val="95"/>
          <w:highlight w:val="none"/>
        </w:rPr>
        <w:t>，</w:t>
      </w:r>
      <w:r>
        <w:rPr>
          <w:color w:val="auto"/>
          <w:highlight w:val="none"/>
        </w:rPr>
        <w:t>并邀请所有投标人的法定代表人或其委托代理人准时参加。</w:t>
      </w:r>
    </w:p>
    <w:p>
      <w:pPr>
        <w:numPr>
          <w:ilvl w:val="1"/>
          <w:numId w:val="8"/>
        </w:numPr>
        <w:bidi w:val="0"/>
        <w:rPr>
          <w:color w:val="auto"/>
          <w:highlight w:val="none"/>
        </w:rPr>
      </w:pPr>
      <w:r>
        <w:rPr>
          <w:b/>
          <w:bCs/>
          <w:color w:val="auto"/>
          <w:sz w:val="24"/>
          <w:szCs w:val="24"/>
          <w:highlight w:val="none"/>
        </w:rPr>
        <w:t>开标程序</w:t>
      </w:r>
    </w:p>
    <w:p>
      <w:pPr>
        <w:pStyle w:val="14"/>
        <w:spacing w:before="178"/>
        <w:ind w:left="1091"/>
        <w:rPr>
          <w:color w:val="auto"/>
          <w:highlight w:val="none"/>
        </w:rPr>
      </w:pPr>
      <w:r>
        <w:rPr>
          <w:color w:val="auto"/>
          <w:highlight w:val="none"/>
        </w:rPr>
        <w:t>主持人按下列程序进行开标：</w:t>
      </w:r>
    </w:p>
    <w:p>
      <w:pPr>
        <w:pStyle w:val="14"/>
        <w:spacing w:before="7"/>
        <w:rPr>
          <w:color w:val="auto"/>
          <w:sz w:val="15"/>
          <w:highlight w:val="none"/>
        </w:rPr>
      </w:pPr>
    </w:p>
    <w:p>
      <w:pPr>
        <w:numPr>
          <w:ilvl w:val="0"/>
          <w:numId w:val="16"/>
        </w:numPr>
        <w:bidi w:val="0"/>
        <w:rPr>
          <w:color w:val="auto"/>
          <w:highlight w:val="none"/>
        </w:rPr>
      </w:pPr>
      <w:r>
        <w:rPr>
          <w:color w:val="auto"/>
          <w:highlight w:val="none"/>
        </w:rPr>
        <w:t>宣布开标纪律；</w:t>
      </w:r>
    </w:p>
    <w:p>
      <w:pPr>
        <w:pStyle w:val="14"/>
        <w:spacing w:before="7"/>
        <w:rPr>
          <w:color w:val="auto"/>
          <w:sz w:val="15"/>
          <w:highlight w:val="none"/>
        </w:rPr>
      </w:pPr>
    </w:p>
    <w:p>
      <w:pPr>
        <w:numPr>
          <w:ilvl w:val="0"/>
          <w:numId w:val="16"/>
        </w:numPr>
        <w:bidi w:val="0"/>
        <w:rPr>
          <w:color w:val="auto"/>
          <w:highlight w:val="none"/>
        </w:rPr>
      </w:pPr>
      <w:r>
        <w:rPr>
          <w:color w:val="auto"/>
          <w:highlight w:val="none"/>
        </w:rPr>
        <w:t>公布在投标截止时间前递交投标件的投标人名称，并点名确认投标人是否派人到场；</w:t>
      </w:r>
    </w:p>
    <w:p>
      <w:pPr>
        <w:pStyle w:val="14"/>
        <w:spacing w:before="6"/>
        <w:rPr>
          <w:color w:val="auto"/>
          <w:sz w:val="15"/>
          <w:highlight w:val="none"/>
        </w:rPr>
      </w:pPr>
    </w:p>
    <w:p>
      <w:pPr>
        <w:numPr>
          <w:ilvl w:val="0"/>
          <w:numId w:val="16"/>
        </w:numPr>
        <w:bidi w:val="0"/>
        <w:rPr>
          <w:color w:val="auto"/>
          <w:highlight w:val="none"/>
        </w:rPr>
      </w:pPr>
      <w:r>
        <w:rPr>
          <w:color w:val="auto"/>
          <w:highlight w:val="none"/>
        </w:rPr>
        <w:t>宣布开标人、唱标人、记录人、监标人等有关人员姓名；</w:t>
      </w:r>
    </w:p>
    <w:p>
      <w:pPr>
        <w:numPr>
          <w:ilvl w:val="0"/>
          <w:numId w:val="0"/>
        </w:numPr>
        <w:bidi w:val="0"/>
        <w:ind w:left="1090" w:leftChars="0" w:right="0" w:rightChars="0"/>
        <w:rPr>
          <w:color w:val="auto"/>
          <w:highlight w:val="none"/>
        </w:rPr>
      </w:pPr>
    </w:p>
    <w:p>
      <w:pPr>
        <w:numPr>
          <w:ilvl w:val="0"/>
          <w:numId w:val="16"/>
        </w:numPr>
        <w:bidi w:val="0"/>
        <w:rPr>
          <w:color w:val="auto"/>
          <w:highlight w:val="none"/>
        </w:rPr>
      </w:pPr>
      <w:r>
        <w:rPr>
          <w:color w:val="auto"/>
          <w:highlight w:val="none"/>
        </w:rPr>
        <w:t>按照投标人须知前附表规定检查投标文件的密封情况；</w:t>
      </w:r>
    </w:p>
    <w:p>
      <w:pPr>
        <w:pStyle w:val="14"/>
        <w:spacing w:before="7"/>
        <w:rPr>
          <w:color w:val="auto"/>
          <w:sz w:val="15"/>
          <w:highlight w:val="none"/>
        </w:rPr>
      </w:pPr>
    </w:p>
    <w:p>
      <w:pPr>
        <w:numPr>
          <w:ilvl w:val="0"/>
          <w:numId w:val="16"/>
        </w:numPr>
        <w:bidi w:val="0"/>
        <w:rPr>
          <w:color w:val="auto"/>
          <w:highlight w:val="none"/>
        </w:rPr>
      </w:pPr>
      <w:r>
        <w:rPr>
          <w:color w:val="auto"/>
          <w:highlight w:val="none"/>
        </w:rPr>
        <w:t>按照投标人须知前附表的规定确定并宣布投标文件开标顺序；</w:t>
      </w:r>
    </w:p>
    <w:p>
      <w:pPr>
        <w:pStyle w:val="14"/>
        <w:spacing w:before="7"/>
        <w:rPr>
          <w:color w:val="auto"/>
          <w:sz w:val="15"/>
          <w:highlight w:val="none"/>
        </w:rPr>
      </w:pPr>
    </w:p>
    <w:p>
      <w:pPr>
        <w:numPr>
          <w:ilvl w:val="0"/>
          <w:numId w:val="16"/>
        </w:numPr>
        <w:bidi w:val="0"/>
        <w:rPr>
          <w:color w:val="auto"/>
          <w:highlight w:val="none"/>
        </w:rPr>
      </w:pPr>
      <w:r>
        <w:rPr>
          <w:color w:val="auto"/>
          <w:highlight w:val="none"/>
        </w:rPr>
        <w:t>设有标底的，公布标底；</w:t>
      </w:r>
    </w:p>
    <w:p>
      <w:pPr>
        <w:pStyle w:val="14"/>
        <w:spacing w:before="6"/>
        <w:rPr>
          <w:color w:val="auto"/>
          <w:sz w:val="15"/>
          <w:highlight w:val="none"/>
        </w:rPr>
      </w:pPr>
    </w:p>
    <w:p>
      <w:pPr>
        <w:pStyle w:val="28"/>
        <w:numPr>
          <w:ilvl w:val="0"/>
          <w:numId w:val="16"/>
        </w:numPr>
        <w:tabs>
          <w:tab w:val="left" w:pos="1616"/>
        </w:tabs>
        <w:spacing w:before="1" w:after="0" w:line="417" w:lineRule="auto"/>
        <w:ind w:left="671" w:right="849" w:firstLine="420"/>
        <w:jc w:val="left"/>
        <w:rPr>
          <w:color w:val="auto"/>
          <w:highlight w:val="none"/>
        </w:rPr>
      </w:pPr>
      <w:r>
        <w:rPr>
          <w:color w:val="auto"/>
          <w:highlight w:val="none"/>
        </w:rPr>
        <w:t>按照宣布的开标顺序当众开标，公布投标人名称、标段名称、投标保证金的递交情况、投标报价、质量目标、工期及其他内容，并记录在案；</w:t>
      </w:r>
    </w:p>
    <w:p>
      <w:pPr>
        <w:pStyle w:val="28"/>
        <w:numPr>
          <w:ilvl w:val="0"/>
          <w:numId w:val="16"/>
        </w:numPr>
        <w:tabs>
          <w:tab w:val="left" w:pos="1616"/>
        </w:tabs>
        <w:spacing w:before="0" w:after="0" w:line="269" w:lineRule="exact"/>
        <w:ind w:left="1615" w:right="0" w:hanging="525"/>
        <w:jc w:val="left"/>
        <w:rPr>
          <w:color w:val="auto"/>
          <w:sz w:val="21"/>
          <w:highlight w:val="none"/>
        </w:rPr>
      </w:pPr>
      <w:r>
        <w:rPr>
          <w:color w:val="auto"/>
          <w:highlight w:val="none"/>
        </w:rPr>
        <w:t>投标人代表、招标人代表、监标人、记录人等有关人员在开标记录上签字确认；</w:t>
      </w:r>
    </w:p>
    <w:p>
      <w:pPr>
        <w:pStyle w:val="14"/>
        <w:spacing w:before="6"/>
        <w:rPr>
          <w:color w:val="auto"/>
          <w:sz w:val="15"/>
          <w:highlight w:val="none"/>
        </w:rPr>
      </w:pPr>
    </w:p>
    <w:p>
      <w:pPr>
        <w:numPr>
          <w:ilvl w:val="0"/>
          <w:numId w:val="16"/>
        </w:numPr>
        <w:bidi w:val="0"/>
        <w:rPr>
          <w:color w:val="auto"/>
          <w:highlight w:val="none"/>
        </w:rPr>
      </w:pPr>
      <w:r>
        <w:rPr>
          <w:color w:val="auto"/>
          <w:highlight w:val="none"/>
        </w:rPr>
        <w:t>开标结束。</w:t>
      </w:r>
    </w:p>
    <w:p>
      <w:pPr>
        <w:pStyle w:val="14"/>
        <w:spacing w:before="2"/>
        <w:rPr>
          <w:color w:val="auto"/>
          <w:sz w:val="14"/>
          <w:highlight w:val="none"/>
        </w:rPr>
      </w:pPr>
    </w:p>
    <w:p>
      <w:pPr>
        <w:pStyle w:val="9"/>
        <w:numPr>
          <w:ilvl w:val="1"/>
          <w:numId w:val="8"/>
        </w:numPr>
        <w:tabs>
          <w:tab w:val="left" w:pos="1753"/>
          <w:tab w:val="left" w:pos="1754"/>
        </w:tabs>
        <w:spacing w:before="0" w:after="0" w:line="364" w:lineRule="auto"/>
        <w:ind w:left="671" w:right="832" w:firstLine="480"/>
        <w:jc w:val="left"/>
        <w:rPr>
          <w:color w:val="auto"/>
          <w:highlight w:val="none"/>
        </w:rPr>
      </w:pPr>
      <w:r>
        <w:rPr>
          <w:b/>
          <w:bCs/>
          <w:color w:val="auto"/>
          <w:sz w:val="24"/>
          <w:szCs w:val="24"/>
          <w:highlight w:val="none"/>
        </w:rPr>
        <w:t>未按照招标文件规定提交对应份数的《建设工程招标现场提</w:t>
      </w:r>
      <w:r>
        <w:rPr>
          <w:color w:val="auto"/>
          <w:highlight w:val="none"/>
        </w:rPr>
        <w:t>交资料登记表》,或没按照《建设工程招标现场提交资料登记表》递交强制性要求查验的资格审查证件及证明资料原件进行查验的，按</w:t>
      </w:r>
      <w:r>
        <w:rPr>
          <w:rFonts w:hint="eastAsia"/>
          <w:color w:val="auto"/>
          <w:highlight w:val="none"/>
          <w:lang w:val="en-US" w:eastAsia="zh-CN"/>
        </w:rPr>
        <w:t>投标无效</w:t>
      </w:r>
      <w:r>
        <w:rPr>
          <w:color w:val="auto"/>
          <w:highlight w:val="none"/>
        </w:rPr>
        <w:t>处理。</w:t>
      </w:r>
    </w:p>
    <w:p>
      <w:pPr>
        <w:numPr>
          <w:ilvl w:val="0"/>
          <w:numId w:val="8"/>
        </w:numPr>
        <w:bidi w:val="0"/>
        <w:rPr>
          <w:b/>
          <w:bCs/>
          <w:color w:val="auto"/>
          <w:sz w:val="24"/>
          <w:szCs w:val="24"/>
          <w:highlight w:val="none"/>
        </w:rPr>
      </w:pPr>
      <w:r>
        <w:rPr>
          <w:b/>
          <w:bCs/>
          <w:color w:val="auto"/>
          <w:sz w:val="24"/>
          <w:szCs w:val="24"/>
          <w:highlight w:val="none"/>
        </w:rPr>
        <w:t>评标</w:t>
      </w:r>
    </w:p>
    <w:p>
      <w:pPr>
        <w:numPr>
          <w:ilvl w:val="1"/>
          <w:numId w:val="8"/>
        </w:numPr>
        <w:bidi w:val="0"/>
        <w:rPr>
          <w:b/>
          <w:bCs/>
          <w:color w:val="auto"/>
          <w:sz w:val="24"/>
          <w:szCs w:val="24"/>
          <w:highlight w:val="none"/>
        </w:rPr>
      </w:pPr>
      <w:r>
        <w:rPr>
          <w:b/>
          <w:bCs/>
          <w:color w:val="auto"/>
          <w:sz w:val="24"/>
          <w:szCs w:val="24"/>
          <w:highlight w:val="none"/>
        </w:rPr>
        <w:t>评标委员会</w:t>
      </w:r>
    </w:p>
    <w:p>
      <w:pPr>
        <w:pStyle w:val="28"/>
        <w:numPr>
          <w:ilvl w:val="2"/>
          <w:numId w:val="8"/>
        </w:numPr>
        <w:tabs>
          <w:tab w:val="left" w:pos="1931"/>
          <w:tab w:val="left" w:pos="1932"/>
        </w:tabs>
        <w:spacing w:before="179" w:after="0" w:line="417" w:lineRule="auto"/>
        <w:ind w:left="671" w:right="955" w:firstLine="420"/>
        <w:jc w:val="left"/>
        <w:rPr>
          <w:color w:val="auto"/>
          <w:highlight w:val="none"/>
        </w:rPr>
      </w:pPr>
      <w:r>
        <w:rPr>
          <w:color w:val="auto"/>
          <w:highlight w:val="none"/>
        </w:rPr>
        <w:t>评标由招标人依法组建的评标委员会负责。评标委员会由</w:t>
      </w:r>
      <w:r>
        <w:rPr>
          <w:rFonts w:hint="eastAsia"/>
          <w:color w:val="auto"/>
          <w:highlight w:val="none"/>
          <w:lang w:val="en-US" w:eastAsia="zh-CN"/>
        </w:rPr>
        <w:t>招标代理机构在</w:t>
      </w:r>
      <w:r>
        <w:rPr>
          <w:color w:val="auto"/>
          <w:highlight w:val="none"/>
        </w:rPr>
        <w:t>广东省综合评标评审专家库</w:t>
      </w:r>
      <w:r>
        <w:rPr>
          <w:rFonts w:hint="eastAsia"/>
          <w:color w:val="auto"/>
          <w:highlight w:val="none"/>
          <w:lang w:val="en-US" w:eastAsia="zh-CN"/>
        </w:rPr>
        <w:t>中邀请</w:t>
      </w:r>
      <w:r>
        <w:rPr>
          <w:color w:val="auto"/>
          <w:highlight w:val="none"/>
        </w:rPr>
        <w:t>的技术、经济等方面的专家组成。</w:t>
      </w:r>
    </w:p>
    <w:p>
      <w:pPr>
        <w:pStyle w:val="28"/>
        <w:numPr>
          <w:ilvl w:val="2"/>
          <w:numId w:val="8"/>
        </w:numPr>
        <w:tabs>
          <w:tab w:val="left" w:pos="1931"/>
          <w:tab w:val="left" w:pos="1932"/>
        </w:tabs>
        <w:spacing w:before="0" w:after="0" w:line="269" w:lineRule="exact"/>
        <w:ind w:left="1931" w:right="0" w:hanging="841"/>
        <w:jc w:val="left"/>
        <w:rPr>
          <w:color w:val="auto"/>
          <w:sz w:val="21"/>
          <w:highlight w:val="none"/>
        </w:rPr>
      </w:pPr>
      <w:r>
        <w:rPr>
          <w:color w:val="auto"/>
          <w:highlight w:val="none"/>
        </w:rPr>
        <w:t>评标委员会成员有下列情形之一的，应当回避：</w:t>
      </w:r>
    </w:p>
    <w:p>
      <w:pPr>
        <w:pStyle w:val="14"/>
        <w:spacing w:before="6"/>
        <w:rPr>
          <w:color w:val="auto"/>
          <w:sz w:val="15"/>
          <w:highlight w:val="none"/>
        </w:rPr>
      </w:pPr>
    </w:p>
    <w:p>
      <w:pPr>
        <w:pStyle w:val="28"/>
        <w:numPr>
          <w:ilvl w:val="0"/>
          <w:numId w:val="17"/>
        </w:numPr>
        <w:tabs>
          <w:tab w:val="left" w:pos="1616"/>
        </w:tabs>
        <w:spacing w:before="0" w:after="0" w:line="240" w:lineRule="auto"/>
        <w:ind w:left="1615" w:right="0" w:hanging="525"/>
        <w:jc w:val="left"/>
        <w:rPr>
          <w:color w:val="auto"/>
          <w:sz w:val="21"/>
          <w:highlight w:val="none"/>
        </w:rPr>
      </w:pPr>
      <w:r>
        <w:rPr>
          <w:color w:val="auto"/>
          <w:highlight w:val="none"/>
        </w:rPr>
        <w:t>招标人或投标人的主要负责人的近亲属；</w:t>
      </w:r>
    </w:p>
    <w:p>
      <w:pPr>
        <w:pStyle w:val="14"/>
        <w:spacing w:before="7"/>
        <w:rPr>
          <w:color w:val="auto"/>
          <w:sz w:val="15"/>
          <w:highlight w:val="none"/>
        </w:rPr>
      </w:pPr>
    </w:p>
    <w:p>
      <w:pPr>
        <w:numPr>
          <w:ilvl w:val="0"/>
          <w:numId w:val="17"/>
        </w:numPr>
        <w:bidi w:val="0"/>
        <w:rPr>
          <w:color w:val="auto"/>
          <w:highlight w:val="none"/>
        </w:rPr>
      </w:pPr>
      <w:r>
        <w:rPr>
          <w:color w:val="auto"/>
          <w:highlight w:val="none"/>
        </w:rPr>
        <w:t>项目主管部门或者行政招标备案登记部门的人员；</w:t>
      </w:r>
    </w:p>
    <w:p>
      <w:pPr>
        <w:pStyle w:val="14"/>
        <w:spacing w:before="7"/>
        <w:rPr>
          <w:color w:val="auto"/>
          <w:sz w:val="15"/>
          <w:highlight w:val="none"/>
        </w:rPr>
      </w:pPr>
    </w:p>
    <w:p>
      <w:pPr>
        <w:pStyle w:val="28"/>
        <w:numPr>
          <w:ilvl w:val="0"/>
          <w:numId w:val="17"/>
        </w:numPr>
        <w:tabs>
          <w:tab w:val="left" w:pos="1616"/>
        </w:tabs>
        <w:spacing w:before="0" w:after="0" w:line="240" w:lineRule="auto"/>
        <w:ind w:left="1615" w:right="0" w:hanging="525"/>
        <w:jc w:val="left"/>
        <w:rPr>
          <w:rFonts w:ascii="宋体" w:hAnsi="宋体" w:eastAsia="宋体" w:cs="宋体"/>
          <w:color w:val="auto"/>
          <w:sz w:val="22"/>
          <w:szCs w:val="22"/>
          <w:highlight w:val="none"/>
          <w:lang w:val="zh-CN" w:eastAsia="zh-CN" w:bidi="zh-CN"/>
        </w:rPr>
      </w:pPr>
      <w:r>
        <w:rPr>
          <w:rFonts w:ascii="宋体" w:hAnsi="宋体" w:eastAsia="宋体" w:cs="宋体"/>
          <w:color w:val="auto"/>
          <w:sz w:val="22"/>
          <w:szCs w:val="22"/>
          <w:highlight w:val="none"/>
          <w:lang w:val="zh-CN" w:eastAsia="zh-CN" w:bidi="zh-CN"/>
        </w:rPr>
        <w:t>与投标人有经济利益关系，可能影响对投标公正评审的；</w:t>
      </w:r>
    </w:p>
    <w:p>
      <w:pPr>
        <w:pStyle w:val="14"/>
        <w:spacing w:before="6"/>
        <w:rPr>
          <w:color w:val="auto"/>
          <w:sz w:val="15"/>
          <w:highlight w:val="none"/>
        </w:rPr>
      </w:pPr>
    </w:p>
    <w:p>
      <w:pPr>
        <w:pStyle w:val="28"/>
        <w:numPr>
          <w:ilvl w:val="0"/>
          <w:numId w:val="17"/>
        </w:numPr>
        <w:tabs>
          <w:tab w:val="left" w:pos="1616"/>
        </w:tabs>
        <w:spacing w:before="1" w:after="0" w:line="417" w:lineRule="auto"/>
        <w:ind w:left="671" w:right="955" w:firstLine="420"/>
        <w:jc w:val="left"/>
        <w:rPr>
          <w:rFonts w:ascii="宋体" w:hAnsi="宋体" w:eastAsia="宋体" w:cs="宋体"/>
          <w:color w:val="auto"/>
          <w:sz w:val="22"/>
          <w:szCs w:val="22"/>
          <w:highlight w:val="none"/>
          <w:lang w:val="zh-CN" w:eastAsia="zh-CN" w:bidi="zh-CN"/>
        </w:rPr>
      </w:pPr>
      <w:r>
        <w:rPr>
          <w:rFonts w:ascii="宋体" w:hAnsi="宋体" w:eastAsia="宋体" w:cs="宋体"/>
          <w:color w:val="auto"/>
          <w:sz w:val="22"/>
          <w:szCs w:val="22"/>
          <w:highlight w:val="none"/>
          <w:lang w:val="zh-CN" w:eastAsia="zh-CN" w:bidi="zh-CN"/>
        </w:rPr>
        <w:t>曾因在招标、评标以及其他与招标投标有关活动中从事违法行为而受过行政处罚或刑事处罚的。</w:t>
      </w:r>
    </w:p>
    <w:p>
      <w:pPr>
        <w:pStyle w:val="28"/>
        <w:numPr>
          <w:ilvl w:val="0"/>
          <w:numId w:val="17"/>
        </w:numPr>
        <w:tabs>
          <w:tab w:val="left" w:pos="1616"/>
        </w:tabs>
        <w:spacing w:before="0" w:after="0" w:line="269" w:lineRule="exact"/>
        <w:ind w:left="1615" w:right="0" w:hanging="525"/>
        <w:jc w:val="left"/>
        <w:rPr>
          <w:rFonts w:ascii="宋体" w:hAnsi="宋体" w:eastAsia="宋体" w:cs="宋体"/>
          <w:color w:val="auto"/>
          <w:sz w:val="22"/>
          <w:szCs w:val="22"/>
          <w:highlight w:val="none"/>
          <w:lang w:val="zh-CN" w:eastAsia="zh-CN" w:bidi="zh-CN"/>
        </w:rPr>
      </w:pPr>
      <w:r>
        <w:rPr>
          <w:color w:val="auto"/>
          <w:highlight w:val="none"/>
          <w:lang w:val="zh-CN" w:eastAsia="zh-CN"/>
        </w:rPr>
        <w:t>与投标人有其他利害关系的</w:t>
      </w:r>
      <w:r>
        <w:rPr>
          <w:rFonts w:ascii="宋体" w:hAnsi="宋体" w:eastAsia="宋体" w:cs="宋体"/>
          <w:color w:val="auto"/>
          <w:sz w:val="22"/>
          <w:szCs w:val="22"/>
          <w:highlight w:val="none"/>
          <w:lang w:val="zh-CN" w:eastAsia="zh-CN" w:bidi="zh-CN"/>
        </w:rPr>
        <w:t>。</w:t>
      </w:r>
    </w:p>
    <w:p>
      <w:pPr>
        <w:pStyle w:val="14"/>
        <w:spacing w:before="1"/>
        <w:rPr>
          <w:color w:val="auto"/>
          <w:sz w:val="14"/>
          <w:highlight w:val="none"/>
        </w:rPr>
      </w:pPr>
    </w:p>
    <w:p>
      <w:pPr>
        <w:numPr>
          <w:ilvl w:val="1"/>
          <w:numId w:val="8"/>
        </w:numPr>
        <w:bidi w:val="0"/>
        <w:rPr>
          <w:color w:val="auto"/>
          <w:highlight w:val="none"/>
        </w:rPr>
      </w:pPr>
      <w:r>
        <w:rPr>
          <w:b/>
          <w:bCs/>
          <w:color w:val="auto"/>
          <w:sz w:val="24"/>
          <w:szCs w:val="24"/>
          <w:highlight w:val="none"/>
        </w:rPr>
        <w:t>评标原则</w:t>
      </w:r>
    </w:p>
    <w:p>
      <w:pPr>
        <w:pStyle w:val="14"/>
        <w:spacing w:before="179"/>
        <w:ind w:left="1091"/>
        <w:rPr>
          <w:color w:val="auto"/>
          <w:highlight w:val="none"/>
        </w:rPr>
      </w:pPr>
      <w:r>
        <w:rPr>
          <w:rFonts w:ascii="宋体" w:hAnsi="宋体" w:eastAsia="宋体" w:cs="宋体"/>
          <w:color w:val="auto"/>
          <w:sz w:val="22"/>
          <w:szCs w:val="22"/>
          <w:highlight w:val="none"/>
          <w:lang w:val="zh-CN" w:eastAsia="zh-CN" w:bidi="zh-CN"/>
        </w:rPr>
        <w:t>评标活动遵循公平、公正、科学和择优的原则。</w:t>
      </w:r>
    </w:p>
    <w:p>
      <w:pPr>
        <w:pStyle w:val="14"/>
        <w:spacing w:before="1"/>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评标</w:t>
      </w:r>
    </w:p>
    <w:p>
      <w:pPr>
        <w:pStyle w:val="14"/>
        <w:spacing w:before="179" w:line="417" w:lineRule="auto"/>
        <w:ind w:left="671" w:right="955" w:firstLine="420"/>
        <w:rPr>
          <w:color w:val="auto"/>
          <w:highlight w:val="none"/>
        </w:rPr>
      </w:pPr>
      <w:r>
        <w:rPr>
          <w:color w:val="auto"/>
          <w:highlight w:val="none"/>
          <w:lang w:val="zh-CN" w:eastAsia="zh-CN"/>
        </w:rPr>
        <w:t>评标委员会按照第三章“评</w:t>
      </w:r>
      <w:r>
        <w:rPr>
          <w:rFonts w:hint="eastAsia"/>
          <w:color w:val="auto"/>
          <w:highlight w:val="none"/>
          <w:lang w:val="zh-CN" w:eastAsia="zh-CN"/>
        </w:rPr>
        <w:t>标</w:t>
      </w:r>
      <w:r>
        <w:rPr>
          <w:color w:val="auto"/>
          <w:highlight w:val="none"/>
          <w:lang w:val="zh-CN" w:eastAsia="zh-CN"/>
        </w:rPr>
        <w:t>办法”规定的方法、评审因素、标准和程序对投标文件</w:t>
      </w:r>
      <w:r>
        <w:rPr>
          <w:rFonts w:ascii="宋体" w:hAnsi="宋体" w:eastAsia="宋体" w:cs="宋体"/>
          <w:color w:val="auto"/>
          <w:sz w:val="22"/>
          <w:szCs w:val="22"/>
          <w:highlight w:val="none"/>
          <w:lang w:val="zh-CN" w:eastAsia="zh-CN" w:bidi="zh-CN"/>
        </w:rPr>
        <w:t>进行评审。</w:t>
      </w:r>
      <w:r>
        <w:rPr>
          <w:color w:val="auto"/>
          <w:highlight w:val="none"/>
          <w:lang w:val="zh-CN" w:eastAsia="zh-CN"/>
        </w:rPr>
        <w:t>第三章“评标办法”没有规定的方法、评审因素和标准，不作为评标依据。</w:t>
      </w:r>
    </w:p>
    <w:p>
      <w:pPr>
        <w:numPr>
          <w:ilvl w:val="0"/>
          <w:numId w:val="8"/>
        </w:numPr>
        <w:bidi w:val="0"/>
        <w:spacing w:line="360" w:lineRule="auto"/>
        <w:rPr>
          <w:b/>
          <w:bCs/>
          <w:color w:val="auto"/>
          <w:sz w:val="24"/>
          <w:szCs w:val="24"/>
          <w:highlight w:val="none"/>
        </w:rPr>
      </w:pPr>
      <w:r>
        <w:rPr>
          <w:b/>
          <w:bCs/>
          <w:color w:val="auto"/>
          <w:sz w:val="24"/>
          <w:szCs w:val="24"/>
          <w:highlight w:val="none"/>
        </w:rPr>
        <w:t>合同授予</w:t>
      </w:r>
    </w:p>
    <w:p>
      <w:pPr>
        <w:numPr>
          <w:ilvl w:val="1"/>
          <w:numId w:val="8"/>
        </w:numPr>
        <w:bidi w:val="0"/>
        <w:spacing w:line="360" w:lineRule="auto"/>
        <w:rPr>
          <w:b/>
          <w:bCs/>
          <w:color w:val="auto"/>
          <w:sz w:val="24"/>
          <w:szCs w:val="24"/>
          <w:highlight w:val="none"/>
        </w:rPr>
      </w:pPr>
      <w:r>
        <w:rPr>
          <w:b/>
          <w:bCs/>
          <w:color w:val="auto"/>
          <w:sz w:val="24"/>
          <w:szCs w:val="24"/>
          <w:highlight w:val="none"/>
        </w:rPr>
        <w:t>定标方式</w:t>
      </w:r>
    </w:p>
    <w:p>
      <w:pPr>
        <w:pStyle w:val="14"/>
        <w:spacing w:before="179" w:line="417" w:lineRule="auto"/>
        <w:ind w:left="671" w:right="955" w:firstLine="420"/>
        <w:rPr>
          <w:color w:val="auto"/>
          <w:highlight w:val="none"/>
        </w:rPr>
      </w:pPr>
      <w:r>
        <w:rPr>
          <w:color w:val="auto"/>
          <w:highlight w:val="none"/>
        </w:rPr>
        <w:t>除投标人须知前附表规定评标委员会直接确定中标人外，招标人依据评标委员会推荐的中标候选人确定中标人，评标委员会推荐中标候选人的人数见投标人须知前附表。</w:t>
      </w:r>
    </w:p>
    <w:p>
      <w:pPr>
        <w:numPr>
          <w:ilvl w:val="1"/>
          <w:numId w:val="8"/>
        </w:numPr>
        <w:bidi w:val="0"/>
        <w:rPr>
          <w:b/>
          <w:bCs/>
          <w:color w:val="auto"/>
          <w:sz w:val="24"/>
          <w:szCs w:val="24"/>
          <w:highlight w:val="none"/>
        </w:rPr>
      </w:pPr>
      <w:r>
        <w:rPr>
          <w:b/>
          <w:bCs/>
          <w:color w:val="auto"/>
          <w:sz w:val="24"/>
          <w:szCs w:val="24"/>
          <w:highlight w:val="none"/>
        </w:rPr>
        <w:t>中标通知</w:t>
      </w:r>
    </w:p>
    <w:p>
      <w:pPr>
        <w:pStyle w:val="14"/>
        <w:spacing w:before="179"/>
        <w:ind w:left="1091"/>
        <w:rPr>
          <w:color w:val="auto"/>
          <w:highlight w:val="none"/>
        </w:rPr>
      </w:pPr>
      <w:r>
        <w:rPr>
          <w:color w:val="auto"/>
          <w:highlight w:val="none"/>
        </w:rPr>
        <w:t>在本章规定的投标有效期内，招标人以书面形式向中标人发出中标通知书。</w:t>
      </w:r>
    </w:p>
    <w:p>
      <w:pPr>
        <w:pStyle w:val="14"/>
        <w:spacing w:before="1"/>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履约担</w:t>
      </w:r>
      <w:r>
        <w:rPr>
          <w:rFonts w:hint="eastAsia"/>
          <w:b/>
          <w:bCs/>
          <w:color w:val="auto"/>
          <w:sz w:val="24"/>
          <w:szCs w:val="24"/>
          <w:highlight w:val="none"/>
          <w:lang w:val="en-US" w:eastAsia="zh-CN"/>
        </w:rPr>
        <w:t>保</w:t>
      </w:r>
    </w:p>
    <w:p>
      <w:pPr>
        <w:pStyle w:val="28"/>
        <w:numPr>
          <w:ilvl w:val="2"/>
          <w:numId w:val="8"/>
        </w:numPr>
        <w:tabs>
          <w:tab w:val="left" w:pos="1932"/>
        </w:tabs>
        <w:spacing w:before="179" w:after="0" w:line="417" w:lineRule="auto"/>
        <w:ind w:left="671" w:right="955" w:firstLine="420"/>
        <w:jc w:val="both"/>
        <w:rPr>
          <w:color w:val="auto"/>
          <w:highlight w:val="none"/>
        </w:rPr>
      </w:pPr>
      <w:r>
        <w:rPr>
          <w:color w:val="auto"/>
          <w:highlight w:val="none"/>
        </w:rPr>
        <w:t>在签订合同前，中标人应按投标人须知前附表规定的金额、担保形式和招标文件第四章“合同条款及格式”规定的履约担保格式向招标人提交履约担保。</w:t>
      </w:r>
    </w:p>
    <w:p>
      <w:pPr>
        <w:pStyle w:val="28"/>
        <w:numPr>
          <w:ilvl w:val="2"/>
          <w:numId w:val="8"/>
        </w:numPr>
        <w:tabs>
          <w:tab w:val="left" w:pos="1932"/>
        </w:tabs>
        <w:spacing w:before="0" w:after="0" w:line="417" w:lineRule="auto"/>
        <w:ind w:left="671" w:right="955" w:firstLine="420"/>
        <w:jc w:val="both"/>
        <w:rPr>
          <w:color w:val="auto"/>
          <w:highlight w:val="none"/>
        </w:rPr>
      </w:pPr>
      <w:r>
        <w:rPr>
          <w:color w:val="auto"/>
          <w:highlight w:val="none"/>
        </w:rPr>
        <w:t>中标人不能按本章要求提交履约担保的，视为放弃中标，其投标保证金不予退还，给招标人造成的损失超过投标保证金数额的，中标人还应当对超过部分予以赔偿。</w:t>
      </w:r>
    </w:p>
    <w:p>
      <w:pPr>
        <w:numPr>
          <w:ilvl w:val="1"/>
          <w:numId w:val="8"/>
        </w:numPr>
        <w:bidi w:val="0"/>
        <w:rPr>
          <w:b/>
          <w:bCs/>
          <w:color w:val="auto"/>
          <w:sz w:val="24"/>
          <w:szCs w:val="24"/>
          <w:highlight w:val="none"/>
        </w:rPr>
      </w:pPr>
      <w:r>
        <w:rPr>
          <w:b/>
          <w:bCs/>
          <w:color w:val="auto"/>
          <w:sz w:val="24"/>
          <w:szCs w:val="24"/>
          <w:highlight w:val="none"/>
        </w:rPr>
        <w:t>签订合同</w:t>
      </w:r>
    </w:p>
    <w:p>
      <w:pPr>
        <w:pStyle w:val="28"/>
        <w:numPr>
          <w:ilvl w:val="2"/>
          <w:numId w:val="8"/>
        </w:numPr>
        <w:tabs>
          <w:tab w:val="left" w:pos="1932"/>
        </w:tabs>
        <w:spacing w:before="178" w:after="0" w:line="417" w:lineRule="auto"/>
        <w:ind w:left="671" w:right="955" w:firstLine="420"/>
        <w:jc w:val="both"/>
        <w:rPr>
          <w:color w:val="auto"/>
          <w:highlight w:val="none"/>
        </w:rPr>
      </w:pPr>
      <w:r>
        <w:rPr>
          <w:color w:val="auto"/>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28"/>
        <w:numPr>
          <w:ilvl w:val="2"/>
          <w:numId w:val="8"/>
        </w:numPr>
        <w:tabs>
          <w:tab w:val="left" w:pos="1932"/>
        </w:tabs>
        <w:spacing w:before="0" w:after="0" w:line="417" w:lineRule="auto"/>
        <w:ind w:left="671" w:right="955" w:firstLine="420"/>
        <w:jc w:val="both"/>
        <w:rPr>
          <w:color w:val="auto"/>
          <w:highlight w:val="none"/>
        </w:rPr>
      </w:pPr>
      <w:r>
        <w:rPr>
          <w:color w:val="auto"/>
          <w:highlight w:val="none"/>
        </w:rPr>
        <w:t>发出中标通知书后，招标人无正当理由拒签合同的，招标人向中标人退还投标保证金；给中标人造成损失的，还应当赔偿损失。</w:t>
      </w:r>
    </w:p>
    <w:p>
      <w:pPr>
        <w:numPr>
          <w:ilvl w:val="0"/>
          <w:numId w:val="8"/>
        </w:numPr>
        <w:bidi w:val="0"/>
        <w:spacing w:line="360" w:lineRule="auto"/>
        <w:rPr>
          <w:b/>
          <w:bCs/>
          <w:color w:val="auto"/>
          <w:sz w:val="24"/>
          <w:szCs w:val="24"/>
          <w:highlight w:val="none"/>
        </w:rPr>
      </w:pPr>
      <w:r>
        <w:rPr>
          <w:b/>
          <w:bCs/>
          <w:color w:val="auto"/>
          <w:sz w:val="24"/>
          <w:szCs w:val="24"/>
          <w:highlight w:val="none"/>
        </w:rPr>
        <w:t>重新招标和不再招标</w:t>
      </w:r>
    </w:p>
    <w:p>
      <w:pPr>
        <w:numPr>
          <w:ilvl w:val="1"/>
          <w:numId w:val="8"/>
        </w:numPr>
        <w:bidi w:val="0"/>
        <w:spacing w:line="360" w:lineRule="auto"/>
        <w:rPr>
          <w:b/>
          <w:bCs/>
          <w:color w:val="auto"/>
          <w:sz w:val="24"/>
          <w:szCs w:val="24"/>
          <w:highlight w:val="none"/>
        </w:rPr>
      </w:pPr>
      <w:r>
        <w:rPr>
          <w:b/>
          <w:bCs/>
          <w:color w:val="auto"/>
          <w:sz w:val="24"/>
          <w:szCs w:val="24"/>
          <w:highlight w:val="none"/>
        </w:rPr>
        <w:t>重新招标</w:t>
      </w:r>
    </w:p>
    <w:p>
      <w:pPr>
        <w:pStyle w:val="14"/>
        <w:spacing w:before="179"/>
        <w:ind w:left="1091"/>
        <w:rPr>
          <w:color w:val="auto"/>
          <w:highlight w:val="none"/>
        </w:rPr>
      </w:pPr>
      <w:r>
        <w:rPr>
          <w:color w:val="auto"/>
          <w:highlight w:val="none"/>
        </w:rPr>
        <w:t>有下列情形之一的，招标人将重新招标：</w:t>
      </w:r>
    </w:p>
    <w:p>
      <w:pPr>
        <w:pStyle w:val="14"/>
        <w:spacing w:before="6"/>
        <w:rPr>
          <w:color w:val="auto"/>
          <w:sz w:val="15"/>
          <w:highlight w:val="none"/>
        </w:rPr>
      </w:pPr>
    </w:p>
    <w:p>
      <w:pPr>
        <w:pStyle w:val="28"/>
        <w:numPr>
          <w:ilvl w:val="0"/>
          <w:numId w:val="18"/>
        </w:numPr>
        <w:tabs>
          <w:tab w:val="left" w:pos="1616"/>
        </w:tabs>
        <w:spacing w:before="0" w:after="0" w:line="240" w:lineRule="auto"/>
        <w:ind w:left="1615" w:right="0" w:hanging="525"/>
        <w:jc w:val="left"/>
        <w:rPr>
          <w:color w:val="auto"/>
          <w:sz w:val="21"/>
          <w:highlight w:val="none"/>
        </w:rPr>
      </w:pPr>
      <w:r>
        <w:rPr>
          <w:color w:val="auto"/>
          <w:highlight w:val="none"/>
        </w:rPr>
        <w:t>通过资格审查的投标人少于3个的；</w:t>
      </w:r>
    </w:p>
    <w:p>
      <w:pPr>
        <w:pStyle w:val="14"/>
        <w:spacing w:before="7"/>
        <w:rPr>
          <w:color w:val="auto"/>
          <w:sz w:val="15"/>
          <w:highlight w:val="none"/>
        </w:rPr>
      </w:pPr>
    </w:p>
    <w:p>
      <w:pPr>
        <w:numPr>
          <w:ilvl w:val="0"/>
          <w:numId w:val="18"/>
        </w:numPr>
        <w:bidi w:val="0"/>
        <w:rPr>
          <w:color w:val="auto"/>
          <w:highlight w:val="none"/>
        </w:rPr>
      </w:pPr>
      <w:r>
        <w:rPr>
          <w:color w:val="auto"/>
          <w:highlight w:val="none"/>
        </w:rPr>
        <w:t>评标委员会经评审，否决所有投标或有效投标少于3个的。</w:t>
      </w:r>
    </w:p>
    <w:p>
      <w:pPr>
        <w:pStyle w:val="14"/>
        <w:spacing w:before="7"/>
        <w:rPr>
          <w:color w:val="auto"/>
          <w:sz w:val="15"/>
          <w:highlight w:val="none"/>
        </w:rPr>
      </w:pPr>
    </w:p>
    <w:p>
      <w:pPr>
        <w:numPr>
          <w:ilvl w:val="0"/>
          <w:numId w:val="18"/>
        </w:numPr>
        <w:bidi w:val="0"/>
        <w:rPr>
          <w:color w:val="auto"/>
          <w:highlight w:val="none"/>
        </w:rPr>
      </w:pPr>
      <w:r>
        <w:rPr>
          <w:color w:val="auto"/>
          <w:highlight w:val="none"/>
        </w:rPr>
        <w:t>法律规定的其他情形。</w:t>
      </w:r>
    </w:p>
    <w:p>
      <w:pPr>
        <w:pStyle w:val="14"/>
        <w:spacing w:before="1"/>
        <w:rPr>
          <w:color w:val="auto"/>
          <w:sz w:val="14"/>
          <w:highlight w:val="none"/>
        </w:rPr>
      </w:pPr>
    </w:p>
    <w:p>
      <w:pPr>
        <w:numPr>
          <w:ilvl w:val="1"/>
          <w:numId w:val="8"/>
        </w:numPr>
        <w:bidi w:val="0"/>
        <w:rPr>
          <w:b/>
          <w:bCs/>
          <w:color w:val="auto"/>
          <w:sz w:val="24"/>
          <w:szCs w:val="24"/>
          <w:highlight w:val="none"/>
        </w:rPr>
      </w:pPr>
      <w:r>
        <w:rPr>
          <w:b/>
          <w:bCs/>
          <w:color w:val="auto"/>
          <w:sz w:val="24"/>
          <w:szCs w:val="24"/>
          <w:highlight w:val="none"/>
        </w:rPr>
        <w:t>不再招标</w:t>
      </w:r>
    </w:p>
    <w:p>
      <w:pPr>
        <w:pStyle w:val="14"/>
        <w:spacing w:before="179" w:line="417" w:lineRule="auto"/>
        <w:ind w:left="671" w:right="955" w:firstLine="420"/>
        <w:rPr>
          <w:color w:val="auto"/>
          <w:highlight w:val="none"/>
        </w:rPr>
      </w:pPr>
      <w:r>
        <w:rPr>
          <w:color w:val="auto"/>
          <w:highlight w:val="none"/>
        </w:rPr>
        <w:t>重新招标后仍不满足上述8.1条款内容的，属于必须审批或核准的工程建设项目，经原审批或核准部门批准后不再进行招标。</w:t>
      </w:r>
    </w:p>
    <w:p>
      <w:pPr>
        <w:numPr>
          <w:ilvl w:val="0"/>
          <w:numId w:val="8"/>
        </w:numPr>
        <w:bidi w:val="0"/>
        <w:spacing w:line="360" w:lineRule="auto"/>
        <w:rPr>
          <w:b/>
          <w:bCs/>
          <w:color w:val="auto"/>
          <w:sz w:val="24"/>
          <w:szCs w:val="24"/>
          <w:highlight w:val="none"/>
        </w:rPr>
      </w:pPr>
      <w:r>
        <w:rPr>
          <w:b/>
          <w:bCs/>
          <w:color w:val="auto"/>
          <w:sz w:val="24"/>
          <w:szCs w:val="24"/>
          <w:highlight w:val="none"/>
        </w:rPr>
        <w:t>纪律和监督</w:t>
      </w:r>
    </w:p>
    <w:p>
      <w:pPr>
        <w:numPr>
          <w:ilvl w:val="1"/>
          <w:numId w:val="8"/>
        </w:numPr>
        <w:bidi w:val="0"/>
        <w:spacing w:line="360" w:lineRule="auto"/>
        <w:rPr>
          <w:b/>
          <w:bCs/>
          <w:color w:val="auto"/>
          <w:sz w:val="24"/>
          <w:szCs w:val="24"/>
          <w:highlight w:val="none"/>
        </w:rPr>
      </w:pPr>
      <w:r>
        <w:rPr>
          <w:b/>
          <w:bCs/>
          <w:color w:val="auto"/>
          <w:sz w:val="24"/>
          <w:szCs w:val="24"/>
          <w:highlight w:val="none"/>
        </w:rPr>
        <w:t>对招标人的纪律要求</w:t>
      </w:r>
    </w:p>
    <w:p>
      <w:pPr>
        <w:pStyle w:val="14"/>
        <w:spacing w:before="179" w:line="417" w:lineRule="auto"/>
        <w:ind w:left="671" w:right="955" w:firstLine="420"/>
        <w:rPr>
          <w:color w:val="auto"/>
          <w:highlight w:val="none"/>
        </w:rPr>
      </w:pPr>
      <w:r>
        <w:rPr>
          <w:color w:val="auto"/>
          <w:highlight w:val="none"/>
        </w:rPr>
        <w:t>招标人不得泄漏招标投标活动中应当保密的情况和资料，不得与投标人串通损害国家利益、社会公共利益或者他人合法权益。</w:t>
      </w:r>
    </w:p>
    <w:p>
      <w:pPr>
        <w:numPr>
          <w:ilvl w:val="1"/>
          <w:numId w:val="8"/>
        </w:numPr>
        <w:bidi w:val="0"/>
        <w:rPr>
          <w:b/>
          <w:bCs/>
          <w:color w:val="auto"/>
          <w:sz w:val="24"/>
          <w:szCs w:val="24"/>
          <w:highlight w:val="none"/>
        </w:rPr>
      </w:pPr>
      <w:r>
        <w:rPr>
          <w:b/>
          <w:bCs/>
          <w:color w:val="auto"/>
          <w:sz w:val="24"/>
          <w:szCs w:val="24"/>
          <w:highlight w:val="none"/>
        </w:rPr>
        <w:t>对投标人的纪律要求</w:t>
      </w:r>
    </w:p>
    <w:p>
      <w:pPr>
        <w:pStyle w:val="14"/>
        <w:spacing w:before="178" w:line="417" w:lineRule="auto"/>
        <w:ind w:left="671" w:right="955" w:firstLine="420"/>
        <w:jc w:val="both"/>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numPr>
          <w:ilvl w:val="1"/>
          <w:numId w:val="8"/>
        </w:numPr>
        <w:bidi w:val="0"/>
        <w:rPr>
          <w:b/>
          <w:bCs/>
          <w:color w:val="auto"/>
          <w:sz w:val="24"/>
          <w:szCs w:val="24"/>
          <w:highlight w:val="none"/>
        </w:rPr>
      </w:pPr>
      <w:r>
        <w:rPr>
          <w:b/>
          <w:bCs/>
          <w:color w:val="auto"/>
          <w:sz w:val="24"/>
          <w:szCs w:val="24"/>
          <w:highlight w:val="none"/>
        </w:rPr>
        <w:t>对评标委员会成员的纪律要求</w:t>
      </w:r>
    </w:p>
    <w:p>
      <w:pPr>
        <w:pStyle w:val="14"/>
        <w:spacing w:before="179" w:line="417" w:lineRule="auto"/>
        <w:ind w:left="671" w:right="955" w:firstLine="420"/>
        <w:jc w:val="both"/>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numPr>
          <w:ilvl w:val="1"/>
          <w:numId w:val="8"/>
        </w:numPr>
        <w:bidi w:val="0"/>
        <w:rPr>
          <w:b/>
          <w:bCs/>
          <w:color w:val="auto"/>
          <w:sz w:val="24"/>
          <w:szCs w:val="24"/>
          <w:highlight w:val="none"/>
        </w:rPr>
      </w:pPr>
      <w:r>
        <w:rPr>
          <w:b/>
          <w:bCs/>
          <w:color w:val="auto"/>
          <w:sz w:val="24"/>
          <w:szCs w:val="24"/>
          <w:highlight w:val="none"/>
        </w:rPr>
        <w:t>对与评标活动有关的工作人员的纪律要求</w:t>
      </w:r>
    </w:p>
    <w:p>
      <w:pPr>
        <w:pStyle w:val="14"/>
        <w:spacing w:before="178" w:line="417" w:lineRule="auto"/>
        <w:ind w:left="671" w:right="955" w:firstLine="420"/>
        <w:jc w:val="both"/>
        <w:rPr>
          <w:color w:val="auto"/>
          <w:highlight w:val="none"/>
        </w:rPr>
      </w:pPr>
      <w:r>
        <w:rPr>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8"/>
        </w:numPr>
        <w:bidi w:val="0"/>
        <w:rPr>
          <w:b/>
          <w:bCs/>
          <w:color w:val="auto"/>
          <w:sz w:val="24"/>
          <w:szCs w:val="24"/>
          <w:highlight w:val="none"/>
        </w:rPr>
      </w:pPr>
      <w:r>
        <w:rPr>
          <w:b/>
          <w:bCs/>
          <w:color w:val="auto"/>
          <w:sz w:val="24"/>
          <w:szCs w:val="24"/>
          <w:highlight w:val="none"/>
        </w:rPr>
        <w:t>投诉</w:t>
      </w:r>
    </w:p>
    <w:p>
      <w:pPr>
        <w:pStyle w:val="14"/>
        <w:spacing w:before="179" w:line="417" w:lineRule="auto"/>
        <w:ind w:left="671" w:right="955" w:firstLine="420"/>
        <w:rPr>
          <w:color w:val="auto"/>
          <w:highlight w:val="none"/>
        </w:rPr>
      </w:pPr>
      <w:r>
        <w:rPr>
          <w:color w:val="auto"/>
          <w:highlight w:val="none"/>
        </w:rPr>
        <w:t>投标人和其他利害关系人认为本次招标活动违反法律、法规和规章规定的，有权向有关行政招标备案登记部门投诉。</w:t>
      </w:r>
    </w:p>
    <w:p>
      <w:pPr>
        <w:numPr>
          <w:ilvl w:val="0"/>
          <w:numId w:val="8"/>
        </w:numPr>
        <w:bidi w:val="0"/>
        <w:spacing w:line="360" w:lineRule="auto"/>
        <w:rPr>
          <w:b/>
          <w:bCs/>
          <w:color w:val="auto"/>
          <w:sz w:val="24"/>
          <w:szCs w:val="24"/>
          <w:highlight w:val="none"/>
        </w:rPr>
      </w:pPr>
      <w:r>
        <w:rPr>
          <w:b/>
          <w:bCs/>
          <w:color w:val="auto"/>
          <w:sz w:val="24"/>
          <w:szCs w:val="24"/>
          <w:highlight w:val="none"/>
        </w:rPr>
        <w:t>需要补充的其他内容</w:t>
      </w:r>
    </w:p>
    <w:p>
      <w:pPr>
        <w:numPr>
          <w:ilvl w:val="1"/>
          <w:numId w:val="8"/>
        </w:numPr>
        <w:bidi w:val="0"/>
        <w:spacing w:line="360" w:lineRule="auto"/>
        <w:rPr>
          <w:color w:val="auto"/>
          <w:highlight w:val="none"/>
        </w:rPr>
      </w:pPr>
      <w:r>
        <w:rPr>
          <w:b/>
          <w:bCs/>
          <w:color w:val="auto"/>
          <w:sz w:val="24"/>
          <w:szCs w:val="24"/>
          <w:highlight w:val="none"/>
        </w:rPr>
        <w:t>投标报价</w:t>
      </w:r>
    </w:p>
    <w:p>
      <w:pPr>
        <w:pStyle w:val="28"/>
        <w:numPr>
          <w:ilvl w:val="2"/>
          <w:numId w:val="8"/>
        </w:numPr>
        <w:tabs>
          <w:tab w:val="left" w:pos="1931"/>
          <w:tab w:val="left" w:pos="1932"/>
        </w:tabs>
        <w:spacing w:before="179" w:after="0" w:line="240" w:lineRule="auto"/>
        <w:ind w:left="1931" w:right="0" w:hanging="841"/>
        <w:jc w:val="left"/>
        <w:rPr>
          <w:color w:val="auto"/>
          <w:sz w:val="21"/>
          <w:highlight w:val="none"/>
        </w:rPr>
      </w:pPr>
      <w:r>
        <w:rPr>
          <w:color w:val="auto"/>
          <w:highlight w:val="none"/>
        </w:rPr>
        <w:t>以工程量清单综合单价计价方式计价，执行《建设工程工程量清单计价规范》</w:t>
      </w:r>
    </w:p>
    <w:p>
      <w:pPr>
        <w:pStyle w:val="14"/>
        <w:spacing w:before="6"/>
        <w:rPr>
          <w:color w:val="auto"/>
          <w:sz w:val="15"/>
          <w:highlight w:val="none"/>
        </w:rPr>
      </w:pPr>
    </w:p>
    <w:p>
      <w:pPr>
        <w:bidi w:val="0"/>
        <w:ind w:firstLine="660" w:firstLineChars="300"/>
        <w:rPr>
          <w:color w:val="auto"/>
          <w:highlight w:val="none"/>
        </w:rPr>
      </w:pPr>
      <w:r>
        <w:rPr>
          <w:color w:val="auto"/>
          <w:highlight w:val="none"/>
        </w:rPr>
        <w:t>（GB50500-2013）</w:t>
      </w:r>
    </w:p>
    <w:p>
      <w:pPr>
        <w:pStyle w:val="14"/>
        <w:spacing w:before="6"/>
        <w:rPr>
          <w:color w:val="auto"/>
          <w:sz w:val="15"/>
          <w:highlight w:val="none"/>
        </w:rPr>
      </w:pPr>
    </w:p>
    <w:p>
      <w:pPr>
        <w:pStyle w:val="28"/>
        <w:numPr>
          <w:ilvl w:val="2"/>
          <w:numId w:val="8"/>
        </w:numPr>
        <w:tabs>
          <w:tab w:val="left" w:pos="1932"/>
        </w:tabs>
        <w:spacing w:before="0" w:after="0" w:line="417" w:lineRule="auto"/>
        <w:ind w:left="671" w:right="955" w:firstLine="420"/>
        <w:jc w:val="both"/>
        <w:rPr>
          <w:color w:val="auto"/>
          <w:highlight w:val="none"/>
        </w:rPr>
      </w:pPr>
      <w:r>
        <w:rPr>
          <w:color w:val="auto"/>
          <w:highlight w:val="none"/>
        </w:rPr>
        <w:t>招标人提供的工程量清单作为招标人确定向投标人招标的工程内容，开工后如需增加投资或变更以招标人或设计单位发出的变更通知并经招标人确认为准，并按相关法规办理增加投资或变更手续。</w:t>
      </w:r>
    </w:p>
    <w:p>
      <w:pPr>
        <w:pStyle w:val="28"/>
        <w:numPr>
          <w:ilvl w:val="2"/>
          <w:numId w:val="8"/>
        </w:numPr>
        <w:tabs>
          <w:tab w:val="left" w:pos="1931"/>
          <w:tab w:val="left" w:pos="1932"/>
        </w:tabs>
        <w:spacing w:before="0" w:after="0" w:line="417" w:lineRule="auto"/>
        <w:ind w:left="671" w:right="849" w:firstLine="420"/>
        <w:jc w:val="left"/>
        <w:rPr>
          <w:color w:val="auto"/>
          <w:highlight w:val="none"/>
        </w:rPr>
      </w:pPr>
      <w:r>
        <w:rPr>
          <w:color w:val="auto"/>
          <w:highlight w:val="none"/>
        </w:rPr>
        <w:t>招标工程量清单按《建设工程工程量清单计价规范》(GB50500-2013)、《广东省建设工程计价依据(2018)》、《广东省房屋建筑与装饰工程综合定额(2018)》、《广东省市政工程综合定额(2018)》</w:t>
      </w:r>
      <w:r>
        <w:rPr>
          <w:rFonts w:hint="eastAsia"/>
          <w:color w:val="auto"/>
          <w:highlight w:val="none"/>
          <w:lang w:eastAsia="zh-CN"/>
        </w:rPr>
        <w:t>、</w:t>
      </w:r>
      <w:r>
        <w:rPr>
          <w:color w:val="auto"/>
          <w:highlight w:val="none"/>
        </w:rPr>
        <w:t>《广东省通用安装工程综合定额(2018》、《广东省园林绿化工程综合定额(2018)》</w:t>
      </w:r>
      <w:r>
        <w:rPr>
          <w:rFonts w:hint="eastAsia"/>
          <w:color w:val="auto"/>
          <w:highlight w:val="none"/>
          <w:lang w:eastAsia="zh-CN"/>
        </w:rPr>
        <w:t>、《</w:t>
      </w:r>
      <w:r>
        <w:rPr>
          <w:rFonts w:hint="eastAsia"/>
          <w:color w:val="auto"/>
          <w:highlight w:val="none"/>
          <w:lang w:val="en-US" w:eastAsia="zh-CN"/>
        </w:rPr>
        <w:t>广东省建设工程施工机具台班费用编制规则（2018）</w:t>
      </w:r>
      <w:r>
        <w:rPr>
          <w:rFonts w:hint="eastAsia"/>
          <w:color w:val="auto"/>
          <w:highlight w:val="none"/>
          <w:lang w:eastAsia="zh-CN"/>
        </w:rPr>
        <w:t>》</w:t>
      </w:r>
      <w:r>
        <w:rPr>
          <w:color w:val="auto"/>
          <w:highlight w:val="none"/>
        </w:rPr>
        <w:t>等建设工程计价文件编制，得出合同价格清单的单价及总价(实施期间如有行政部门发布新的建设工程计价文件须执行的，则按新的建设工程计价文件执行)。招标人提供书面工程量清单与电子工程量清单给投标人，工程量清单及预算价原则上投标不再调整，如有调整或修改必须以招标人书面文件为准。工程量清单应与投标须知、合同条款、技术规范及图纸等结合起来查阅与理解。</w:t>
      </w:r>
    </w:p>
    <w:p>
      <w:pPr>
        <w:pStyle w:val="28"/>
        <w:numPr>
          <w:ilvl w:val="2"/>
          <w:numId w:val="8"/>
        </w:numPr>
        <w:tabs>
          <w:tab w:val="left" w:pos="1932"/>
        </w:tabs>
        <w:spacing w:before="0" w:after="0" w:line="417" w:lineRule="auto"/>
        <w:ind w:left="671" w:right="955" w:firstLine="420"/>
        <w:jc w:val="both"/>
        <w:rPr>
          <w:color w:val="auto"/>
          <w:highlight w:val="none"/>
        </w:rPr>
      </w:pPr>
      <w:r>
        <w:rPr>
          <w:color w:val="auto"/>
          <w:highlight w:val="none"/>
        </w:rPr>
        <w:t>在设计图纸存在的工程项目，而在招标人提供的工程量清单中</w:t>
      </w:r>
      <w:r>
        <w:rPr>
          <w:rFonts w:hint="eastAsia"/>
          <w:color w:val="auto"/>
          <w:highlight w:val="none"/>
          <w:lang w:eastAsia="zh-CN"/>
        </w:rPr>
        <w:t>工程名称</w:t>
      </w:r>
      <w:r>
        <w:rPr>
          <w:color w:val="auto"/>
          <w:highlight w:val="none"/>
        </w:rPr>
        <w:t>、数量与招标图纸有出入时，可在标前答疑以书面形式要求招标人进行澄清。各投标人必须严格按提供的工程量清单及补充文件提供的工程量进行报价，不得擅自改动工程量清单的项目编码、</w:t>
      </w:r>
      <w:r>
        <w:rPr>
          <w:rFonts w:hint="eastAsia"/>
          <w:color w:val="auto"/>
          <w:highlight w:val="none"/>
          <w:lang w:eastAsia="zh-CN"/>
        </w:rPr>
        <w:t>工程名称</w:t>
      </w:r>
      <w:r>
        <w:rPr>
          <w:color w:val="auto"/>
          <w:highlight w:val="none"/>
        </w:rPr>
        <w:t>、计量单位和工程数量。投标人必须响应招标文件，并在充分理解招标人提供的全部招标文件、设计文件、资料及现场条件的基础上编写投标文件。</w:t>
      </w:r>
    </w:p>
    <w:p>
      <w:pPr>
        <w:pStyle w:val="14"/>
        <w:spacing w:before="7"/>
        <w:rPr>
          <w:color w:val="auto"/>
          <w:sz w:val="15"/>
          <w:highlight w:val="none"/>
        </w:rPr>
      </w:pPr>
    </w:p>
    <w:p>
      <w:pPr>
        <w:pStyle w:val="28"/>
        <w:numPr>
          <w:ilvl w:val="2"/>
          <w:numId w:val="8"/>
        </w:numPr>
        <w:tabs>
          <w:tab w:val="left" w:pos="1931"/>
          <w:tab w:val="left" w:pos="1932"/>
        </w:tabs>
        <w:spacing w:before="0" w:after="0" w:line="417" w:lineRule="auto"/>
        <w:ind w:left="671" w:right="849" w:firstLine="420"/>
        <w:jc w:val="left"/>
        <w:rPr>
          <w:color w:val="auto"/>
          <w:highlight w:val="none"/>
        </w:rPr>
      </w:pPr>
      <w:r>
        <w:rPr>
          <w:color w:val="auto"/>
          <w:highlight w:val="none"/>
        </w:rPr>
        <w:t>执行固定单价合同，中标人所报的工程量清单总报价作为该项目的合同价，报价书的工程量综合单价不可调整，将作为该项目的结算单价。每一项目只允许有一个报价（内容包含：工程总费用、清单项目费用、措施项目费用、清单单价及人工、材料、机械单价等报价，且各报价的构成应相符）</w:t>
      </w:r>
    </w:p>
    <w:p>
      <w:pPr>
        <w:pStyle w:val="28"/>
        <w:numPr>
          <w:ilvl w:val="2"/>
          <w:numId w:val="8"/>
        </w:numPr>
        <w:tabs>
          <w:tab w:val="left" w:pos="1932"/>
        </w:tabs>
        <w:spacing w:before="0" w:after="0" w:line="417" w:lineRule="auto"/>
        <w:ind w:left="671" w:right="849" w:firstLine="420"/>
        <w:jc w:val="both"/>
        <w:rPr>
          <w:color w:val="auto"/>
          <w:highlight w:val="none"/>
        </w:rPr>
      </w:pPr>
      <w:r>
        <w:rPr>
          <w:color w:val="auto"/>
          <w:highlight w:val="none"/>
        </w:rPr>
        <w:t>投标人应对工程现场和其周围环境进行认真踏勘和考察，对建设场地的地理位置、施工现场地上地下的一切情况和影响施工的因素（水、电、汽、材料价格，运输路线、距离等）以及困难条件进行周密的勘察和研究，作出自己的判断结论和估价，报价时要充分考虑上述因素。</w:t>
      </w:r>
    </w:p>
    <w:p>
      <w:pPr>
        <w:pStyle w:val="28"/>
        <w:numPr>
          <w:ilvl w:val="2"/>
          <w:numId w:val="8"/>
        </w:numPr>
        <w:tabs>
          <w:tab w:val="left" w:pos="1932"/>
        </w:tabs>
        <w:spacing w:before="0" w:after="0" w:line="417" w:lineRule="auto"/>
        <w:ind w:left="671" w:right="956" w:firstLine="420"/>
        <w:jc w:val="both"/>
        <w:rPr>
          <w:color w:val="auto"/>
          <w:highlight w:val="none"/>
        </w:rPr>
      </w:pPr>
      <w:r>
        <w:rPr>
          <w:color w:val="auto"/>
          <w:highlight w:val="none"/>
        </w:rPr>
        <w:t>投标人的投标报价，应是招标范围内全部工程的投标价。除非合同或法规另有规定外，投标价的单价和总额价均已包括了为实施和完成合同工程所需的劳务、材料、机械、质检（含自检）、安装、修复缺陷、管理、税费、利润及合同规定的保险费等费用，以及合同明示的所有责任、义务和一般风险。</w:t>
      </w:r>
    </w:p>
    <w:p>
      <w:pPr>
        <w:pStyle w:val="28"/>
        <w:numPr>
          <w:ilvl w:val="2"/>
          <w:numId w:val="8"/>
        </w:numPr>
        <w:tabs>
          <w:tab w:val="left" w:pos="1932"/>
        </w:tabs>
        <w:spacing w:before="0" w:after="0" w:line="417" w:lineRule="auto"/>
        <w:ind w:left="671" w:right="955" w:firstLine="420"/>
        <w:jc w:val="both"/>
        <w:rPr>
          <w:color w:val="auto"/>
          <w:highlight w:val="none"/>
        </w:rPr>
      </w:pPr>
      <w:r>
        <w:rPr>
          <w:color w:val="auto"/>
          <w:highlight w:val="none"/>
        </w:rPr>
        <w:t>工程量清单综合单价是指完成规定计量单位项目所需的人工费、材料费、机械使用费、管理费、利润，投标人投标报价应考虑风险因素；投标人报价风险必须包含工程量清单涵盖内容的所有费用与风险。</w:t>
      </w:r>
    </w:p>
    <w:p>
      <w:pPr>
        <w:pStyle w:val="28"/>
        <w:numPr>
          <w:ilvl w:val="2"/>
          <w:numId w:val="8"/>
        </w:numPr>
        <w:tabs>
          <w:tab w:val="left" w:pos="1932"/>
        </w:tabs>
        <w:spacing w:before="0" w:after="0" w:line="417" w:lineRule="auto"/>
        <w:ind w:left="671" w:right="956" w:firstLine="420"/>
        <w:jc w:val="both"/>
        <w:rPr>
          <w:color w:val="auto"/>
          <w:highlight w:val="none"/>
        </w:rPr>
      </w:pPr>
      <w:r>
        <w:rPr>
          <w:color w:val="auto"/>
          <w:highlight w:val="none"/>
        </w:rPr>
        <w:t>各投标人应根据招标文件、施工图纸、工程场地情况、施工季节、各投标人已确认的工程量清单，根据企业自身技术、经济水平和总体施工部署，按本招标文件的工程量清单、结算方法并考虑市场风险后自行报价。</w:t>
      </w:r>
    </w:p>
    <w:p>
      <w:pPr>
        <w:pStyle w:val="28"/>
        <w:numPr>
          <w:ilvl w:val="2"/>
          <w:numId w:val="8"/>
        </w:numPr>
        <w:tabs>
          <w:tab w:val="left" w:pos="1932"/>
        </w:tabs>
        <w:spacing w:before="0" w:after="0" w:line="417" w:lineRule="auto"/>
        <w:ind w:left="671" w:right="955" w:firstLine="420"/>
        <w:jc w:val="both"/>
        <w:rPr>
          <w:color w:val="auto"/>
          <w:highlight w:val="none"/>
        </w:rPr>
      </w:pPr>
      <w:r>
        <w:rPr>
          <w:color w:val="auto"/>
          <w:highlight w:val="none"/>
        </w:rPr>
        <w:t>按《广东省建设工程计价依据（2018）》规定，措施项目费投标报价时的费用构成不得违反本文件规定，投标人没有计算或少计费用，视为此费用已包括在其他费用中，按投标报价执行。</w:t>
      </w:r>
    </w:p>
    <w:p>
      <w:pPr>
        <w:pStyle w:val="28"/>
        <w:numPr>
          <w:ilvl w:val="2"/>
          <w:numId w:val="8"/>
        </w:numPr>
        <w:tabs>
          <w:tab w:val="left" w:pos="1828"/>
        </w:tabs>
        <w:spacing w:before="0" w:after="0" w:line="417" w:lineRule="auto"/>
        <w:ind w:left="671" w:right="849" w:firstLine="420"/>
        <w:jc w:val="left"/>
        <w:rPr>
          <w:color w:val="auto"/>
          <w:highlight w:val="none"/>
        </w:rPr>
      </w:pPr>
      <w:r>
        <w:rPr>
          <w:color w:val="auto"/>
          <w:highlight w:val="none"/>
        </w:rPr>
        <w:t>工程细目：投标人必须对提供的招标工程量清单进行整体报价，投标中漏项的部分或没有填写单价和总价的分部分项工程项目，招标人视为已包括在总报价中。投标人没有填入单价、合价的工程细目，招标人不予支持并不给予另行支付，中标人必须按招标人指令完成未填入单价、合价的工程；投标人多报的工程细目或单价、合价，招标人将不予接受，严重的将视为重大偏差，其投标将被拒绝。</w:t>
      </w:r>
    </w:p>
    <w:p>
      <w:pPr>
        <w:pStyle w:val="28"/>
        <w:numPr>
          <w:ilvl w:val="2"/>
          <w:numId w:val="8"/>
        </w:numPr>
        <w:tabs>
          <w:tab w:val="left" w:pos="1828"/>
        </w:tabs>
        <w:spacing w:before="0" w:after="0" w:line="417" w:lineRule="auto"/>
        <w:ind w:left="671" w:right="849" w:firstLine="420"/>
        <w:jc w:val="left"/>
        <w:rPr>
          <w:color w:val="auto"/>
          <w:sz w:val="21"/>
          <w:highlight w:val="none"/>
        </w:rPr>
      </w:pPr>
      <w:r>
        <w:rPr>
          <w:color w:val="auto"/>
          <w:highlight w:val="none"/>
        </w:rPr>
        <w:t>《招标控制价》公布材料的厂家、产地、品牌仅供投标报价时参考，材料投标报价的单价、厂家、产地、品牌由投标人参照自定，颜色按图纸规定选定；投标人参照选定的材料，应当参照公布的《招标控制价》提供的相应厂家、产地、品牌材料与设备，或选定相当于同等标准，符合设计要求和国家规范标准的产品，否则，由此而引起的一切责任由投标人负责。在工程施工期间，除招标文件或合同另有规定外，各类建材的市场风险由投标人承担</w:t>
      </w:r>
      <w:r>
        <w:rPr>
          <w:color w:val="auto"/>
          <w:spacing w:val="-16"/>
          <w:sz w:val="21"/>
          <w:highlight w:val="none"/>
        </w:rPr>
        <w:t>。</w:t>
      </w:r>
    </w:p>
    <w:p>
      <w:pPr>
        <w:pStyle w:val="14"/>
        <w:spacing w:before="2"/>
        <w:rPr>
          <w:color w:val="auto"/>
          <w:sz w:val="14"/>
          <w:highlight w:val="none"/>
        </w:rPr>
      </w:pPr>
    </w:p>
    <w:p>
      <w:pPr>
        <w:pStyle w:val="9"/>
        <w:numPr>
          <w:ilvl w:val="1"/>
          <w:numId w:val="8"/>
        </w:numPr>
        <w:tabs>
          <w:tab w:val="left" w:pos="1931"/>
          <w:tab w:val="left" w:pos="1932"/>
        </w:tabs>
        <w:spacing w:before="0" w:after="0" w:line="240" w:lineRule="auto"/>
        <w:ind w:left="1931" w:right="0" w:hanging="781"/>
        <w:jc w:val="left"/>
        <w:rPr>
          <w:color w:val="auto"/>
          <w:highlight w:val="none"/>
        </w:rPr>
      </w:pPr>
      <w:r>
        <w:rPr>
          <w:color w:val="auto"/>
          <w:highlight w:val="none"/>
        </w:rPr>
        <w:t>本招标文件中规定的强制性费用报价内容如下：</w:t>
      </w:r>
    </w:p>
    <w:p>
      <w:pPr>
        <w:pStyle w:val="28"/>
        <w:numPr>
          <w:ilvl w:val="2"/>
          <w:numId w:val="8"/>
        </w:numPr>
        <w:tabs>
          <w:tab w:val="left" w:pos="1931"/>
          <w:tab w:val="left" w:pos="1932"/>
        </w:tabs>
        <w:spacing w:before="178" w:after="0" w:line="417" w:lineRule="auto"/>
        <w:ind w:left="671" w:right="1048" w:firstLine="420"/>
        <w:jc w:val="left"/>
        <w:rPr>
          <w:color w:val="auto"/>
          <w:sz w:val="23"/>
          <w:highlight w:val="none"/>
        </w:rPr>
      </w:pPr>
      <w:r>
        <w:rPr>
          <w:color w:val="auto"/>
          <w:highlight w:val="none"/>
        </w:rPr>
        <w:t>本工程按预算价设定最高拦标价（招标控制价）为</w:t>
      </w:r>
      <w:r>
        <w:rPr>
          <w:rFonts w:hint="eastAsia"/>
          <w:b/>
          <w:bCs/>
          <w:color w:val="auto"/>
          <w:highlight w:val="none"/>
          <w:lang w:eastAsia="zh-CN"/>
        </w:rPr>
        <w:t>¥23,216,813.21元</w:t>
      </w:r>
      <w:r>
        <w:rPr>
          <w:color w:val="auto"/>
          <w:sz w:val="21"/>
          <w:highlight w:val="none"/>
        </w:rPr>
        <w:t>，</w:t>
      </w:r>
      <w:r>
        <w:rPr>
          <w:color w:val="auto"/>
          <w:highlight w:val="none"/>
        </w:rPr>
        <w:t>超出最高拦标价的报价视为无效投标。</w:t>
      </w:r>
    </w:p>
    <w:p>
      <w:pPr>
        <w:pStyle w:val="28"/>
        <w:numPr>
          <w:ilvl w:val="2"/>
          <w:numId w:val="8"/>
        </w:numPr>
        <w:tabs>
          <w:tab w:val="left" w:pos="1828"/>
        </w:tabs>
        <w:spacing w:before="0" w:after="0" w:line="417" w:lineRule="auto"/>
        <w:ind w:left="1093" w:right="1058" w:firstLine="0"/>
        <w:jc w:val="left"/>
        <w:rPr>
          <w:color w:val="auto"/>
          <w:highlight w:val="none"/>
        </w:rPr>
      </w:pPr>
      <w:r>
        <w:rPr>
          <w:color w:val="auto"/>
          <w:highlight w:val="none"/>
        </w:rPr>
        <w:t>投标人不得低于企业成本报价竞标，由评标委员会认定低于企业成本报价的，作</w:t>
      </w:r>
      <w:r>
        <w:rPr>
          <w:rFonts w:hint="eastAsia"/>
          <w:color w:val="auto"/>
          <w:highlight w:val="none"/>
          <w:lang w:val="en-US" w:eastAsia="zh-CN"/>
        </w:rPr>
        <w:t>无效投标</w:t>
      </w:r>
      <w:r>
        <w:rPr>
          <w:color w:val="auto"/>
          <w:highlight w:val="none"/>
        </w:rPr>
        <w:t>处理。</w:t>
      </w:r>
    </w:p>
    <w:p>
      <w:pPr>
        <w:pStyle w:val="28"/>
        <w:numPr>
          <w:ilvl w:val="2"/>
          <w:numId w:val="8"/>
        </w:numPr>
        <w:tabs>
          <w:tab w:val="left" w:pos="1828"/>
        </w:tabs>
        <w:spacing w:before="0" w:after="0" w:line="417" w:lineRule="auto"/>
        <w:ind w:left="1093" w:right="1058" w:firstLine="0"/>
        <w:jc w:val="left"/>
        <w:rPr>
          <w:color w:val="auto"/>
          <w:highlight w:val="none"/>
        </w:rPr>
      </w:pPr>
      <w:r>
        <w:rPr>
          <w:color w:val="auto"/>
          <w:highlight w:val="none"/>
        </w:rPr>
        <w:t>人工费工日单价报价必须符合云建价（2013）2 号文的规定</w:t>
      </w:r>
      <w:r>
        <w:rPr>
          <w:rFonts w:hint="eastAsia"/>
          <w:color w:val="auto"/>
          <w:spacing w:val="-15"/>
          <w:sz w:val="21"/>
          <w:highlight w:val="none"/>
          <w:lang w:eastAsia="zh-CN"/>
        </w:rPr>
        <w:t>。</w:t>
      </w:r>
      <w:r>
        <w:rPr>
          <w:color w:val="auto"/>
          <w:highlight w:val="none"/>
        </w:rPr>
        <w:t>每一项目只允许有一个报价(每一项目内容包含:工程总费用、清单项目费用、措施项目费用、清单单价及人工、材料、机械单价等报价，且各报价的构成应相符)。</w:t>
      </w:r>
    </w:p>
    <w:p>
      <w:pPr>
        <w:pStyle w:val="28"/>
        <w:numPr>
          <w:ilvl w:val="2"/>
          <w:numId w:val="8"/>
        </w:numPr>
        <w:tabs>
          <w:tab w:val="left" w:pos="1828"/>
        </w:tabs>
        <w:spacing w:before="0" w:after="0" w:line="417" w:lineRule="auto"/>
        <w:ind w:left="1093" w:right="849" w:firstLine="0"/>
        <w:jc w:val="left"/>
        <w:rPr>
          <w:color w:val="auto"/>
          <w:highlight w:val="none"/>
        </w:rPr>
      </w:pPr>
      <w:r>
        <w:rPr>
          <w:color w:val="auto"/>
          <w:highlight w:val="none"/>
        </w:rPr>
        <w:t>措施项目费其中的“绿色施工绿色施工安全防护措施费”部分费用，不列入招标投标竞争范围。计入投标报价时，根据《广东省建设工程计价依据(2018)》规定，投标人的“绿色施工安全防护措施费”报价，按费率计算部分，以分部分项工程的人工费与施工机具费之和为计算基础，单独场地平整工程按4.35%计算</w:t>
      </w:r>
      <w:r>
        <w:rPr>
          <w:rFonts w:hint="eastAsia"/>
          <w:color w:val="auto"/>
          <w:highlight w:val="none"/>
          <w:lang w:eastAsia="zh-CN"/>
        </w:rPr>
        <w:t>；</w:t>
      </w:r>
      <w:r>
        <w:rPr>
          <w:color w:val="auto"/>
          <w:highlight w:val="none"/>
        </w:rPr>
        <w:t>道路、管网工程按16.50%计算</w:t>
      </w:r>
      <w:r>
        <w:rPr>
          <w:rFonts w:hint="eastAsia"/>
          <w:color w:val="auto"/>
          <w:highlight w:val="none"/>
          <w:lang w:eastAsia="zh-CN"/>
        </w:rPr>
        <w:t>；</w:t>
      </w:r>
      <w:r>
        <w:rPr>
          <w:color w:val="auto"/>
          <w:highlight w:val="none"/>
        </w:rPr>
        <w:t>桥涵、隧道、水处理构筑物工程按14.50%计算</w:t>
      </w:r>
      <w:r>
        <w:rPr>
          <w:rFonts w:hint="eastAsia"/>
          <w:color w:val="auto"/>
          <w:highlight w:val="none"/>
          <w:lang w:eastAsia="zh-CN"/>
        </w:rPr>
        <w:t>；</w:t>
      </w:r>
      <w:r>
        <w:rPr>
          <w:color w:val="auto"/>
          <w:highlight w:val="none"/>
        </w:rPr>
        <w:t>建筑工程按19.00%计算</w:t>
      </w:r>
      <w:r>
        <w:rPr>
          <w:rFonts w:hint="eastAsia"/>
          <w:color w:val="auto"/>
          <w:highlight w:val="none"/>
          <w:lang w:eastAsia="zh-CN"/>
        </w:rPr>
        <w:t>；</w:t>
      </w:r>
      <w:r>
        <w:rPr>
          <w:color w:val="auto"/>
          <w:highlight w:val="none"/>
        </w:rPr>
        <w:t>单独装饰装修工程按13.00%计算</w:t>
      </w:r>
      <w:r>
        <w:rPr>
          <w:rFonts w:hint="eastAsia"/>
          <w:color w:val="auto"/>
          <w:highlight w:val="none"/>
          <w:lang w:eastAsia="zh-CN"/>
        </w:rPr>
        <w:t>；</w:t>
      </w:r>
      <w:r>
        <w:rPr>
          <w:color w:val="auto"/>
          <w:highlight w:val="none"/>
        </w:rPr>
        <w:t>安装工程按35.77%计算</w:t>
      </w:r>
      <w:r>
        <w:rPr>
          <w:rFonts w:hint="eastAsia"/>
          <w:color w:val="auto"/>
          <w:highlight w:val="none"/>
          <w:lang w:eastAsia="zh-CN"/>
        </w:rPr>
        <w:t>；</w:t>
      </w:r>
      <w:r>
        <w:rPr>
          <w:color w:val="auto"/>
          <w:highlight w:val="none"/>
        </w:rPr>
        <w:t>绿化工程按10.00%计算。总费用和按子目计算的绿色施工安全防护措施项目报价不得低于公布的最高报价值相应费用的90%，总费用和按子目计算的绿色施工安全防护措施项目报价不得高于公布的最高报价值相应值，本工程的“绿色施工安全防护措施费”的最高报价值总费用为:</w:t>
      </w:r>
      <w:r>
        <w:rPr>
          <w:rFonts w:hint="default" w:ascii="Arial" w:hAnsi="Arial" w:cs="Arial"/>
          <w:color w:val="auto"/>
          <w:highlight w:val="none"/>
        </w:rPr>
        <w:t>¥</w:t>
      </w:r>
      <w:r>
        <w:rPr>
          <w:rFonts w:hint="eastAsia"/>
          <w:color w:val="auto"/>
          <w:highlight w:val="none"/>
          <w:u w:val="single"/>
          <w:lang w:eastAsia="zh-CN"/>
        </w:rPr>
        <w:t>2974224.42元</w:t>
      </w:r>
      <w:r>
        <w:rPr>
          <w:color w:val="auto"/>
          <w:highlight w:val="none"/>
        </w:rPr>
        <w:t>。</w:t>
      </w:r>
    </w:p>
    <w:p>
      <w:pPr>
        <w:pStyle w:val="28"/>
        <w:numPr>
          <w:ilvl w:val="0"/>
          <w:numId w:val="0"/>
        </w:numPr>
        <w:tabs>
          <w:tab w:val="left" w:pos="1828"/>
        </w:tabs>
        <w:spacing w:before="0" w:after="0" w:line="417" w:lineRule="auto"/>
        <w:ind w:left="1093" w:leftChars="0" w:right="849" w:rightChars="0"/>
        <w:jc w:val="left"/>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page">
                  <wp:posOffset>1203960</wp:posOffset>
                </wp:positionH>
                <wp:positionV relativeFrom="paragraph">
                  <wp:posOffset>865505</wp:posOffset>
                </wp:positionV>
                <wp:extent cx="5139690" cy="824865"/>
                <wp:effectExtent l="0" t="0" r="0" b="0"/>
                <wp:wrapNone/>
                <wp:docPr id="13" name="文本框 8"/>
                <wp:cNvGraphicFramePr/>
                <a:graphic xmlns:a="http://schemas.openxmlformats.org/drawingml/2006/main">
                  <a:graphicData uri="http://schemas.microsoft.com/office/word/2010/wordprocessingShape">
                    <wps:wsp>
                      <wps:cNvSpPr txBox="1"/>
                      <wps:spPr>
                        <a:xfrm>
                          <a:off x="0" y="0"/>
                          <a:ext cx="5139690" cy="824865"/>
                        </a:xfrm>
                        <a:prstGeom prst="rect">
                          <a:avLst/>
                        </a:prstGeom>
                        <a:noFill/>
                        <a:ln>
                          <a:noFill/>
                        </a:ln>
                      </wps:spPr>
                      <wps:txbx>
                        <w:txbxContent>
                          <w:tbl>
                            <w:tblPr>
                              <w:tblStyle w:val="23"/>
                              <w:tblW w:w="7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8"/>
                              <w:gridCol w:w="2941"/>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378" w:type="dxa"/>
                                  <w:vAlign w:val="center"/>
                                </w:tcPr>
                                <w:p>
                                  <w:pPr>
                                    <w:bidi w:val="0"/>
                                    <w:jc w:val="center"/>
                                    <w:rPr>
                                      <w:rFonts w:hint="eastAsia" w:eastAsia="宋体"/>
                                      <w:lang w:eastAsia="zh-CN"/>
                                    </w:rPr>
                                  </w:pPr>
                                  <w:r>
                                    <w:rPr>
                                      <w:rFonts w:hint="eastAsia"/>
                                      <w:lang w:eastAsia="zh-CN"/>
                                    </w:rPr>
                                    <w:t>工程名称</w:t>
                                  </w:r>
                                </w:p>
                              </w:tc>
                              <w:tc>
                                <w:tcPr>
                                  <w:tcW w:w="2941" w:type="dxa"/>
                                  <w:vAlign w:val="center"/>
                                </w:tcPr>
                                <w:p>
                                  <w:pPr>
                                    <w:bidi w:val="0"/>
                                    <w:jc w:val="center"/>
                                  </w:pPr>
                                  <w:r>
                                    <w:t>计算基础</w:t>
                                  </w:r>
                                </w:p>
                              </w:tc>
                              <w:tc>
                                <w:tcPr>
                                  <w:tcW w:w="2660" w:type="dxa"/>
                                  <w:vAlign w:val="center"/>
                                </w:tcPr>
                                <w:p>
                                  <w:pPr>
                                    <w:bidi w:val="0"/>
                                    <w:jc w:val="center"/>
                                  </w:pPr>
                                  <w:r>
                                    <w:t>增值税税率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3" w:hRule="atLeast"/>
                              </w:trPr>
                              <w:tc>
                                <w:tcPr>
                                  <w:tcW w:w="2378" w:type="dxa"/>
                                  <w:vAlign w:val="center"/>
                                </w:tcPr>
                                <w:p>
                                  <w:pPr>
                                    <w:bidi w:val="0"/>
                                    <w:jc w:val="center"/>
                                  </w:pPr>
                                  <w:r>
                                    <w:t>增值税销项税额</w:t>
                                  </w:r>
                                </w:p>
                              </w:tc>
                              <w:tc>
                                <w:tcPr>
                                  <w:tcW w:w="2941" w:type="dxa"/>
                                  <w:vAlign w:val="center"/>
                                </w:tcPr>
                                <w:p>
                                  <w:pPr>
                                    <w:bidi w:val="0"/>
                                    <w:jc w:val="center"/>
                                  </w:pPr>
                                  <w:r>
                                    <w:t>税前工程造价</w:t>
                                  </w:r>
                                </w:p>
                              </w:tc>
                              <w:tc>
                                <w:tcPr>
                                  <w:tcW w:w="2660" w:type="dxa"/>
                                  <w:vAlign w:val="center"/>
                                </w:tcPr>
                                <w:p>
                                  <w:pPr>
                                    <w:bidi w:val="0"/>
                                    <w:jc w:val="center"/>
                                  </w:pPr>
                                  <w:r>
                                    <w:t>9%</w:t>
                                  </w:r>
                                </w:p>
                              </w:tc>
                            </w:tr>
                          </w:tbl>
                          <w:p>
                            <w:pPr>
                              <w:pStyle w:val="14"/>
                            </w:pPr>
                          </w:p>
                        </w:txbxContent>
                      </wps:txbx>
                      <wps:bodyPr lIns="0" tIns="0" rIns="0" bIns="0" upright="1"/>
                    </wps:wsp>
                  </a:graphicData>
                </a:graphic>
              </wp:anchor>
            </w:drawing>
          </mc:Choice>
          <mc:Fallback>
            <w:pict>
              <v:shape id="文本框 8" o:spid="_x0000_s1026" o:spt="202" type="#_x0000_t202" style="position:absolute;left:0pt;margin-left:94.8pt;margin-top:68.15pt;height:64.95pt;width:404.7pt;mso-position-horizontal-relative:page;z-index:251665408;mso-width-relative:page;mso-height-relative:page;" filled="f" stroked="f" coordsize="21600,21600" o:gfxdata="UEsDBAoAAAAAAIdO4kAAAAAAAAAAAAAAAAAEAAAAZHJzL1BLAwQUAAAACACHTuJAqNaGxtgAAAAL&#10;AQAADwAAAGRycy9kb3ducmV2LnhtbE2Py07DMBBF90j8gzWV2FG7qWTVIU5VIVghIdJ0wdJJ3MRq&#10;PA6x++DvGVawm6s5uo9ie/Mju9g5uoAaVksBzGIbOoe9hkP9+rgBFpPBzowBrYZvG2Fb3t8VJu/C&#10;FSt72aeekQnG3GgYUppyzmM7WG/iMkwW6XcMszeJ5NzzbjZXMvcjz4SQ3BuHlDCYyT4Ptj3tz17D&#10;7hOrF/f13nxUx8rVtRL4Jk9aPyxW4glYsrf0B8NvfaoOJXVqwhm7yEbSGyUJpWMt18CIUErRukZD&#10;JmUGvCz4/w3lD1BLAwQUAAAACACHTuJAC3IfebsBAABzAwAADgAAAGRycy9lMm9Eb2MueG1srVNL&#10;btswEN0X6B0I7mvaTmM4guUAhZGiQNEWSHsAmiItAvyBQ1vyBdobdNVN9z2Xz9EhZTltsskiG2o0&#10;M3rz3htqddtbQw4ygvauprPJlBLphG+029X029e7N0tKIHHXcOOdrOlRAr1dv3616kIl5771ppGR&#10;IIiDqgs1bVMKFWMgWmk5THyQDovKR8sTvsYdayLvEN0aNp9OF6zzsQnRCwmA2c1QpGfE+BxAr5QW&#10;cuPF3kqXBtQoDU8oCVodgK4LW6WkSJ+VApmIqSkqTeXEIRhv88nWK17tIg+tFmcK/DkUHmmyXDsc&#10;eoHa8MTJPuonUFaL6MGrNBHeskFIcQRVzKaPvLlveZBFC1oN4WI6vBys+HT4Eolu8CZcUeK4xY2f&#10;fv44/fpz+v2dLLM/XYAK2+4DNqb+ne+xd8wDJrPsXkWbnyiIYB3dPV7clX0iApPXs6ubxQ2WBNaW&#10;87fLxXWGYQ9fhwjpvfSW5KCmEbdXTOWHj5CG1rElD3P+ThtTNmjcfwnEzBmWqQ8Uc5T6bX/Ws/XN&#10;EeWYDw69zPdiDOIYbMdgH6LetUiniC6QuIvC+3xv8rL/fS+DH/6V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1obG2AAAAAsBAAAPAAAAAAAAAAEAIAAAACIAAABkcnMvZG93bnJldi54bWxQSwEC&#10;FAAUAAAACACHTuJAC3IfebsBAABzAwAADgAAAAAAAAABACAAAAAnAQAAZHJzL2Uyb0RvYy54bWxQ&#10;SwUGAAAAAAYABgBZAQAAVAUAAAAA&#10;">
                <v:fill on="f" focussize="0,0"/>
                <v:stroke on="f"/>
                <v:imagedata o:title=""/>
                <o:lock v:ext="edit" aspectratio="f"/>
                <v:textbox inset="0mm,0mm,0mm,0mm">
                  <w:txbxContent>
                    <w:tbl>
                      <w:tblPr>
                        <w:tblStyle w:val="23"/>
                        <w:tblW w:w="7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8"/>
                        <w:gridCol w:w="2941"/>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378" w:type="dxa"/>
                            <w:vAlign w:val="center"/>
                          </w:tcPr>
                          <w:p>
                            <w:pPr>
                              <w:bidi w:val="0"/>
                              <w:jc w:val="center"/>
                              <w:rPr>
                                <w:rFonts w:hint="eastAsia" w:eastAsia="宋体"/>
                                <w:lang w:eastAsia="zh-CN"/>
                              </w:rPr>
                            </w:pPr>
                            <w:r>
                              <w:rPr>
                                <w:rFonts w:hint="eastAsia"/>
                                <w:lang w:eastAsia="zh-CN"/>
                              </w:rPr>
                              <w:t>工程名称</w:t>
                            </w:r>
                          </w:p>
                        </w:tc>
                        <w:tc>
                          <w:tcPr>
                            <w:tcW w:w="2941" w:type="dxa"/>
                            <w:vAlign w:val="center"/>
                          </w:tcPr>
                          <w:p>
                            <w:pPr>
                              <w:bidi w:val="0"/>
                              <w:jc w:val="center"/>
                            </w:pPr>
                            <w:r>
                              <w:t>计算基础</w:t>
                            </w:r>
                          </w:p>
                        </w:tc>
                        <w:tc>
                          <w:tcPr>
                            <w:tcW w:w="2660" w:type="dxa"/>
                            <w:vAlign w:val="center"/>
                          </w:tcPr>
                          <w:p>
                            <w:pPr>
                              <w:bidi w:val="0"/>
                              <w:jc w:val="center"/>
                            </w:pPr>
                            <w:r>
                              <w:t>增值税税率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2378" w:type="dxa"/>
                            <w:vAlign w:val="center"/>
                          </w:tcPr>
                          <w:p>
                            <w:pPr>
                              <w:bidi w:val="0"/>
                              <w:jc w:val="center"/>
                            </w:pPr>
                            <w:r>
                              <w:t>增值税销项税额</w:t>
                            </w:r>
                          </w:p>
                        </w:tc>
                        <w:tc>
                          <w:tcPr>
                            <w:tcW w:w="2941" w:type="dxa"/>
                            <w:vAlign w:val="center"/>
                          </w:tcPr>
                          <w:p>
                            <w:pPr>
                              <w:bidi w:val="0"/>
                              <w:jc w:val="center"/>
                            </w:pPr>
                            <w:r>
                              <w:t>税前工程造价</w:t>
                            </w:r>
                          </w:p>
                        </w:tc>
                        <w:tc>
                          <w:tcPr>
                            <w:tcW w:w="2660" w:type="dxa"/>
                            <w:vAlign w:val="center"/>
                          </w:tcPr>
                          <w:p>
                            <w:pPr>
                              <w:bidi w:val="0"/>
                              <w:jc w:val="center"/>
                            </w:pPr>
                            <w:r>
                              <w:t>9%</w:t>
                            </w:r>
                          </w:p>
                        </w:tc>
                      </w:tr>
                    </w:tbl>
                    <w:p>
                      <w:pPr>
                        <w:pStyle w:val="14"/>
                      </w:pPr>
                    </w:p>
                  </w:txbxContent>
                </v:textbox>
              </v:shape>
            </w:pict>
          </mc:Fallback>
        </mc:AlternateContent>
      </w:r>
      <w:r>
        <w:rPr>
          <w:rFonts w:hint="eastAsia"/>
          <w:color w:val="auto"/>
          <w:highlight w:val="none"/>
          <w:lang w:val="en-US" w:eastAsia="zh-CN"/>
        </w:rPr>
        <w:t xml:space="preserve">10.2.9 </w:t>
      </w:r>
      <w:r>
        <w:rPr>
          <w:color w:val="auto"/>
          <w:highlight w:val="none"/>
        </w:rPr>
        <w:t>税金承包本合同工程需缴纳的一切税费均由投标人承担，并包括在总报价中或所报单价内。投标时增值税销项税额统一按工程所在地建筑业增值税税率9%进行报价，不得调整，投标时税金的规定如下:</w:t>
      </w: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spacing w:before="9"/>
        <w:rPr>
          <w:color w:val="auto"/>
          <w:sz w:val="26"/>
          <w:highlight w:val="none"/>
        </w:rPr>
      </w:pPr>
    </w:p>
    <w:p>
      <w:pPr>
        <w:pStyle w:val="28"/>
        <w:numPr>
          <w:ilvl w:val="0"/>
          <w:numId w:val="0"/>
        </w:numPr>
        <w:tabs>
          <w:tab w:val="left" w:pos="1828"/>
        </w:tabs>
        <w:spacing w:before="0" w:after="0" w:line="240" w:lineRule="auto"/>
        <w:ind w:left="1093" w:leftChars="0" w:right="0" w:rightChars="0"/>
        <w:jc w:val="left"/>
        <w:rPr>
          <w:rFonts w:hint="eastAsia"/>
          <w:color w:val="auto"/>
          <w:highlight w:val="none"/>
          <w:lang w:val="en-US" w:eastAsia="zh-CN"/>
        </w:rPr>
      </w:pPr>
    </w:p>
    <w:p>
      <w:pPr>
        <w:pStyle w:val="28"/>
        <w:numPr>
          <w:ilvl w:val="0"/>
          <w:numId w:val="0"/>
        </w:numPr>
        <w:tabs>
          <w:tab w:val="left" w:pos="1828"/>
        </w:tabs>
        <w:spacing w:before="0" w:after="0" w:line="240" w:lineRule="auto"/>
        <w:ind w:left="1093" w:leftChars="0" w:right="0" w:rightChars="0"/>
        <w:jc w:val="left"/>
        <w:rPr>
          <w:color w:val="auto"/>
          <w:highlight w:val="none"/>
        </w:rPr>
      </w:pPr>
      <w:r>
        <w:rPr>
          <w:rFonts w:hint="eastAsia"/>
          <w:color w:val="auto"/>
          <w:highlight w:val="none"/>
          <w:lang w:val="en-US" w:eastAsia="zh-CN"/>
        </w:rPr>
        <w:t xml:space="preserve">10.2.10 </w:t>
      </w:r>
      <w:r>
        <w:rPr>
          <w:color w:val="auto"/>
          <w:highlight w:val="none"/>
        </w:rPr>
        <w:t>招标人暂列金额</w:t>
      </w:r>
    </w:p>
    <w:p>
      <w:pPr>
        <w:pStyle w:val="14"/>
        <w:spacing w:before="7"/>
        <w:rPr>
          <w:color w:val="auto"/>
          <w:sz w:val="15"/>
          <w:highlight w:val="none"/>
        </w:rPr>
      </w:pPr>
    </w:p>
    <w:p>
      <w:pPr>
        <w:pStyle w:val="28"/>
        <w:numPr>
          <w:ilvl w:val="0"/>
          <w:numId w:val="0"/>
        </w:numPr>
        <w:tabs>
          <w:tab w:val="left" w:pos="2037"/>
        </w:tabs>
        <w:spacing w:before="0" w:after="0" w:line="417" w:lineRule="auto"/>
        <w:ind w:left="1093" w:leftChars="0" w:right="956" w:rightChars="0"/>
        <w:jc w:val="left"/>
        <w:rPr>
          <w:color w:val="auto"/>
          <w:highlight w:val="none"/>
        </w:rPr>
      </w:pPr>
      <w:r>
        <w:rPr>
          <w:rFonts w:hint="eastAsia"/>
          <w:color w:val="auto"/>
          <w:highlight w:val="none"/>
          <w:lang w:val="en-US" w:eastAsia="zh-CN"/>
        </w:rPr>
        <w:t>10.2.10.1</w:t>
      </w:r>
      <w:r>
        <w:rPr>
          <w:color w:val="auto"/>
          <w:highlight w:val="none"/>
        </w:rPr>
        <w:t>暂列金额为招标人在工程量清单中暂定并包括在合同价款的一笔款项。用于施工合同签订时尚未确定或者不可预见的所需材料、设备、服务的采购，施工中可能发生的工程变更，合同约定调整因素出现时的工程价款调整以发生的索赔、现场签证确认等的费用。暂列金额在投标时应按招标人在其他项目中列出的金额填写，不得调整。</w:t>
      </w:r>
    </w:p>
    <w:p>
      <w:pPr>
        <w:pStyle w:val="28"/>
        <w:numPr>
          <w:ilvl w:val="0"/>
          <w:numId w:val="0"/>
        </w:numPr>
        <w:tabs>
          <w:tab w:val="left" w:pos="2037"/>
        </w:tabs>
        <w:spacing w:before="0" w:after="0" w:line="417" w:lineRule="auto"/>
        <w:ind w:left="1093" w:leftChars="0" w:right="956" w:rightChars="0"/>
        <w:jc w:val="left"/>
        <w:rPr>
          <w:rFonts w:hint="default" w:eastAsia="宋体"/>
          <w:color w:val="auto"/>
          <w:highlight w:val="none"/>
          <w:lang w:val="en-US" w:eastAsia="zh-CN"/>
        </w:rPr>
      </w:pPr>
      <w:r>
        <w:rPr>
          <w:rFonts w:hint="eastAsia"/>
          <w:color w:val="auto"/>
          <w:highlight w:val="none"/>
          <w:lang w:val="en-US" w:eastAsia="zh-CN"/>
        </w:rPr>
        <w:t>10.2.10.2本项暂列金额为0元。</w:t>
      </w:r>
    </w:p>
    <w:p>
      <w:pPr>
        <w:pStyle w:val="28"/>
        <w:numPr>
          <w:ilvl w:val="0"/>
          <w:numId w:val="0"/>
        </w:numPr>
        <w:tabs>
          <w:tab w:val="left" w:pos="1828"/>
        </w:tabs>
        <w:spacing w:before="0" w:after="0" w:line="268" w:lineRule="exact"/>
        <w:ind w:left="1093" w:leftChars="0" w:right="0" w:rightChars="0"/>
        <w:jc w:val="left"/>
        <w:rPr>
          <w:color w:val="auto"/>
          <w:sz w:val="21"/>
          <w:highlight w:val="none"/>
        </w:rPr>
      </w:pPr>
      <w:r>
        <w:rPr>
          <w:rFonts w:hint="eastAsia"/>
          <w:color w:val="auto"/>
          <w:highlight w:val="none"/>
          <w:lang w:val="en-US" w:eastAsia="zh-CN"/>
        </w:rPr>
        <w:t>10.2.11</w:t>
      </w:r>
      <w:r>
        <w:rPr>
          <w:color w:val="auto"/>
          <w:highlight w:val="none"/>
        </w:rPr>
        <w:t>材料设备暂估价、专业工程暂估价</w:t>
      </w:r>
    </w:p>
    <w:p>
      <w:pPr>
        <w:pStyle w:val="14"/>
        <w:spacing w:before="6"/>
        <w:rPr>
          <w:color w:val="auto"/>
          <w:sz w:val="15"/>
          <w:highlight w:val="none"/>
        </w:rPr>
      </w:pPr>
    </w:p>
    <w:p>
      <w:pPr>
        <w:pStyle w:val="28"/>
        <w:numPr>
          <w:ilvl w:val="0"/>
          <w:numId w:val="0"/>
        </w:numPr>
        <w:tabs>
          <w:tab w:val="left" w:pos="2037"/>
        </w:tabs>
        <w:spacing w:before="1" w:after="0" w:line="417" w:lineRule="auto"/>
        <w:ind w:left="1093" w:leftChars="0" w:right="955" w:rightChars="0"/>
        <w:jc w:val="left"/>
        <w:rPr>
          <w:color w:val="auto"/>
          <w:highlight w:val="none"/>
        </w:rPr>
      </w:pPr>
      <w:r>
        <w:rPr>
          <w:rFonts w:hint="eastAsia"/>
          <w:color w:val="auto"/>
          <w:highlight w:val="none"/>
          <w:lang w:val="en-US" w:eastAsia="zh-CN"/>
        </w:rPr>
        <w:t>10.2.11.1</w:t>
      </w:r>
      <w:r>
        <w:rPr>
          <w:color w:val="auto"/>
          <w:highlight w:val="none"/>
        </w:rPr>
        <w:t>材料设备暂估价、专业工程暂估价为招标人在工程量清单中提供的用于支付必然发生但暂时不能确定的工程单价。在投标时投标人必须统一按招标工程量清单的单价或金额填报，不得调整。</w:t>
      </w:r>
    </w:p>
    <w:p>
      <w:pPr>
        <w:pStyle w:val="28"/>
        <w:numPr>
          <w:ilvl w:val="0"/>
          <w:numId w:val="0"/>
        </w:numPr>
        <w:tabs>
          <w:tab w:val="left" w:pos="2037"/>
        </w:tabs>
        <w:spacing w:before="0" w:after="0" w:line="269" w:lineRule="exact"/>
        <w:ind w:left="1092" w:leftChars="0" w:right="0" w:rightChars="0"/>
        <w:jc w:val="left"/>
        <w:rPr>
          <w:color w:val="auto"/>
          <w:sz w:val="21"/>
          <w:highlight w:val="none"/>
        </w:rPr>
      </w:pPr>
      <w:r>
        <w:rPr>
          <w:rFonts w:hint="eastAsia"/>
          <w:color w:val="auto"/>
          <w:highlight w:val="none"/>
          <w:lang w:val="en-US" w:eastAsia="zh-CN"/>
        </w:rPr>
        <w:t>10.2.11.2</w:t>
      </w:r>
      <w:r>
        <w:rPr>
          <w:color w:val="auto"/>
          <w:highlight w:val="none"/>
        </w:rPr>
        <w:t>结算时材料设备暂估价单价应按发、承包双方最终确认价调整。</w:t>
      </w:r>
    </w:p>
    <w:p>
      <w:pPr>
        <w:pStyle w:val="14"/>
        <w:spacing w:before="6"/>
        <w:rPr>
          <w:color w:val="auto"/>
          <w:sz w:val="15"/>
          <w:highlight w:val="none"/>
        </w:rPr>
      </w:pPr>
    </w:p>
    <w:p>
      <w:pPr>
        <w:pStyle w:val="28"/>
        <w:numPr>
          <w:ilvl w:val="0"/>
          <w:numId w:val="0"/>
        </w:numPr>
        <w:tabs>
          <w:tab w:val="left" w:pos="2037"/>
        </w:tabs>
        <w:spacing w:before="0" w:after="0" w:line="240" w:lineRule="auto"/>
        <w:ind w:left="1092" w:leftChars="0" w:right="0" w:rightChars="0"/>
        <w:jc w:val="left"/>
        <w:rPr>
          <w:color w:val="auto"/>
          <w:sz w:val="21"/>
          <w:highlight w:val="none"/>
        </w:rPr>
      </w:pPr>
      <w:r>
        <w:rPr>
          <w:rFonts w:hint="eastAsia"/>
          <w:color w:val="auto"/>
          <w:highlight w:val="none"/>
          <w:lang w:val="en-US" w:eastAsia="zh-CN"/>
        </w:rPr>
        <w:t>10.2.11.3</w:t>
      </w:r>
      <w:r>
        <w:rPr>
          <w:color w:val="auto"/>
          <w:highlight w:val="none"/>
        </w:rPr>
        <w:t>结算时专业工程暂估价金额按相关规定计算并由发、承包双方最终确认价调整。</w:t>
      </w:r>
    </w:p>
    <w:p>
      <w:pPr>
        <w:pStyle w:val="14"/>
        <w:spacing w:before="12"/>
        <w:rPr>
          <w:color w:val="auto"/>
          <w:sz w:val="7"/>
          <w:highlight w:val="none"/>
        </w:rPr>
      </w:pPr>
    </w:p>
    <w:p>
      <w:pPr>
        <w:pStyle w:val="28"/>
        <w:numPr>
          <w:ilvl w:val="0"/>
          <w:numId w:val="0"/>
        </w:numPr>
        <w:tabs>
          <w:tab w:val="left" w:pos="1725"/>
        </w:tabs>
        <w:spacing w:before="98" w:after="0" w:line="240" w:lineRule="auto"/>
        <w:ind w:left="1092" w:leftChars="0" w:right="0" w:rightChars="0"/>
        <w:jc w:val="left"/>
        <w:rPr>
          <w:color w:val="auto"/>
          <w:highlight w:val="none"/>
        </w:rPr>
      </w:pPr>
      <w:r>
        <w:rPr>
          <w:rFonts w:hint="eastAsia"/>
          <w:color w:val="auto"/>
          <w:highlight w:val="none"/>
          <w:lang w:val="en-US" w:eastAsia="zh-CN"/>
        </w:rPr>
        <w:t>10.2.12</w:t>
      </w:r>
      <w:r>
        <w:rPr>
          <w:color w:val="auto"/>
          <w:highlight w:val="none"/>
        </w:rPr>
        <w:t>预拌商品混凝土</w:t>
      </w:r>
    </w:p>
    <w:p>
      <w:pPr>
        <w:pStyle w:val="14"/>
        <w:spacing w:before="6"/>
        <w:rPr>
          <w:color w:val="auto"/>
          <w:sz w:val="15"/>
          <w:highlight w:val="none"/>
        </w:rPr>
      </w:pPr>
    </w:p>
    <w:p>
      <w:pPr>
        <w:pStyle w:val="28"/>
        <w:numPr>
          <w:ilvl w:val="0"/>
          <w:numId w:val="0"/>
        </w:numPr>
        <w:tabs>
          <w:tab w:val="left" w:pos="2037"/>
        </w:tabs>
        <w:spacing w:before="1" w:after="0" w:line="417" w:lineRule="auto"/>
        <w:ind w:left="1093" w:leftChars="0" w:right="1058" w:rightChars="0"/>
        <w:jc w:val="left"/>
        <w:rPr>
          <w:color w:val="auto"/>
          <w:sz w:val="21"/>
          <w:highlight w:val="none"/>
        </w:rPr>
      </w:pPr>
      <w:r>
        <w:rPr>
          <w:rFonts w:hint="eastAsia"/>
          <w:color w:val="auto"/>
          <w:highlight w:val="none"/>
          <w:lang w:val="en-US" w:eastAsia="zh-CN"/>
        </w:rPr>
        <w:t>10.2.12.1</w:t>
      </w:r>
      <w:r>
        <w:rPr>
          <w:rFonts w:hint="eastAsia"/>
          <w:color w:val="auto"/>
          <w:highlight w:val="none"/>
        </w:rPr>
        <w:t>按云建散[2005]3号文《关于市城区内建设工程统一使用预拌商品混凝土的通知》与云建散[2005]4号文《关于市城区内建设工程统一使用预拌商品混凝土的通告》的规定，本工程项目在编制工程预算时，已将使用预拌商品混凝土工程成本列入工程造价，中标人在本工程施工中应统一使用预拌商品混凝土，不准在施工现场搅拌混凝土</w:t>
      </w:r>
      <w:r>
        <w:rPr>
          <w:color w:val="auto"/>
          <w:highlight w:val="none"/>
        </w:rPr>
        <w:t>。</w:t>
      </w:r>
    </w:p>
    <w:p>
      <w:pPr>
        <w:pStyle w:val="28"/>
        <w:numPr>
          <w:ilvl w:val="0"/>
          <w:numId w:val="0"/>
        </w:numPr>
        <w:tabs>
          <w:tab w:val="left" w:pos="2037"/>
        </w:tabs>
        <w:spacing w:before="0" w:after="0" w:line="417" w:lineRule="auto"/>
        <w:ind w:left="1093" w:leftChars="0" w:right="1058" w:rightChars="0"/>
        <w:jc w:val="left"/>
        <w:rPr>
          <w:color w:val="auto"/>
          <w:sz w:val="21"/>
          <w:highlight w:val="none"/>
        </w:rPr>
      </w:pPr>
      <w:r>
        <w:rPr>
          <w:rFonts w:hint="eastAsia"/>
          <w:color w:val="auto"/>
          <w:highlight w:val="none"/>
          <w:lang w:val="en-US" w:eastAsia="zh-CN"/>
        </w:rPr>
        <w:t>10.2.12.2</w:t>
      </w:r>
      <w:r>
        <w:rPr>
          <w:color w:val="auto"/>
          <w:highlight w:val="none"/>
        </w:rPr>
        <w:t>各投标人应按已确认的招标工程量清单、工程结算方法，并考虑使用预拌商品混凝土的价格因素自行报价，但报价不得低于本企业成本价。</w:t>
      </w:r>
    </w:p>
    <w:p>
      <w:pPr>
        <w:pStyle w:val="28"/>
        <w:numPr>
          <w:ilvl w:val="0"/>
          <w:numId w:val="0"/>
        </w:numPr>
        <w:tabs>
          <w:tab w:val="left" w:pos="2037"/>
        </w:tabs>
        <w:spacing w:before="0" w:after="0" w:line="269" w:lineRule="exact"/>
        <w:ind w:left="1092" w:leftChars="0" w:right="0" w:rightChars="0"/>
        <w:jc w:val="left"/>
        <w:rPr>
          <w:color w:val="auto"/>
          <w:sz w:val="21"/>
          <w:highlight w:val="none"/>
        </w:rPr>
      </w:pPr>
      <w:r>
        <w:rPr>
          <w:rFonts w:hint="eastAsia"/>
          <w:color w:val="auto"/>
          <w:highlight w:val="none"/>
          <w:lang w:val="en-US" w:eastAsia="zh-CN"/>
        </w:rPr>
        <w:t>10.2.12.3</w:t>
      </w:r>
      <w:r>
        <w:rPr>
          <w:color w:val="auto"/>
          <w:highlight w:val="none"/>
        </w:rPr>
        <w:t>工程竣工结算时，按招标投标中标价及合同约定进行结算。</w:t>
      </w:r>
    </w:p>
    <w:p>
      <w:pPr>
        <w:pStyle w:val="14"/>
        <w:spacing w:before="6"/>
        <w:rPr>
          <w:color w:val="auto"/>
          <w:sz w:val="15"/>
          <w:highlight w:val="none"/>
        </w:rPr>
      </w:pPr>
    </w:p>
    <w:p>
      <w:pPr>
        <w:pStyle w:val="28"/>
        <w:numPr>
          <w:ilvl w:val="0"/>
          <w:numId w:val="0"/>
        </w:numPr>
        <w:tabs>
          <w:tab w:val="left" w:pos="1828"/>
        </w:tabs>
        <w:spacing w:before="0" w:after="0" w:line="240" w:lineRule="auto"/>
        <w:ind w:left="1093" w:leftChars="0" w:right="0" w:rightChars="0"/>
        <w:jc w:val="left"/>
        <w:rPr>
          <w:color w:val="auto"/>
          <w:sz w:val="21"/>
          <w:highlight w:val="none"/>
        </w:rPr>
      </w:pPr>
      <w:r>
        <w:rPr>
          <w:rFonts w:hint="eastAsia"/>
          <w:color w:val="auto"/>
          <w:highlight w:val="none"/>
          <w:lang w:val="en-US" w:eastAsia="zh-CN"/>
        </w:rPr>
        <w:t>10.2.13</w:t>
      </w:r>
      <w:r>
        <w:rPr>
          <w:color w:val="auto"/>
          <w:highlight w:val="none"/>
        </w:rPr>
        <w:t>预拌砂浆</w:t>
      </w:r>
    </w:p>
    <w:p>
      <w:pPr>
        <w:pStyle w:val="28"/>
        <w:numPr>
          <w:ilvl w:val="0"/>
          <w:numId w:val="0"/>
        </w:numPr>
        <w:tabs>
          <w:tab w:val="left" w:pos="2037"/>
        </w:tabs>
        <w:spacing w:before="58" w:after="0" w:line="417" w:lineRule="auto"/>
        <w:ind w:left="1093" w:leftChars="0" w:right="849" w:rightChars="0"/>
        <w:jc w:val="left"/>
        <w:rPr>
          <w:color w:val="auto"/>
          <w:highlight w:val="none"/>
        </w:rPr>
      </w:pPr>
      <w:r>
        <w:rPr>
          <w:rFonts w:hint="eastAsia"/>
          <w:color w:val="auto"/>
          <w:highlight w:val="none"/>
          <w:lang w:val="en-US" w:eastAsia="zh-CN"/>
        </w:rPr>
        <w:t>10.2.13.1</w:t>
      </w:r>
      <w:r>
        <w:rPr>
          <w:color w:val="auto"/>
          <w:highlight w:val="none"/>
        </w:rPr>
        <w:t>根据《云浮市限期禁止现场搅拌砂浆的通知》(云建散(2017)15号)和《关于进一步规范我市预拌混凝土和预拌砂浆管理的通知》(云建散(2017)14号)，本项目采用预拌砂浆。</w:t>
      </w:r>
    </w:p>
    <w:p>
      <w:pPr>
        <w:pStyle w:val="28"/>
        <w:numPr>
          <w:ilvl w:val="0"/>
          <w:numId w:val="0"/>
        </w:numPr>
        <w:tabs>
          <w:tab w:val="left" w:pos="2037"/>
        </w:tabs>
        <w:spacing w:before="0" w:after="0" w:line="417" w:lineRule="auto"/>
        <w:ind w:left="1093" w:leftChars="0" w:right="1058" w:rightChars="0"/>
        <w:jc w:val="left"/>
        <w:rPr>
          <w:color w:val="auto"/>
          <w:highlight w:val="none"/>
        </w:rPr>
      </w:pPr>
      <w:r>
        <w:rPr>
          <w:rFonts w:hint="eastAsia"/>
          <w:color w:val="auto"/>
          <w:highlight w:val="none"/>
          <w:lang w:val="en-US" w:eastAsia="zh-CN"/>
        </w:rPr>
        <w:t>10.2.13.2</w:t>
      </w:r>
      <w:r>
        <w:rPr>
          <w:color w:val="auto"/>
          <w:highlight w:val="none"/>
        </w:rPr>
        <w:t>各投标人应按已确认的招标工程量清单、工程结算方法，并考虑使用预拌砂浆的价格因素自行报价，但报价不得低于本企业成本价。</w:t>
      </w:r>
    </w:p>
    <w:p>
      <w:pPr>
        <w:pStyle w:val="28"/>
        <w:numPr>
          <w:ilvl w:val="0"/>
          <w:numId w:val="0"/>
        </w:numPr>
        <w:tabs>
          <w:tab w:val="left" w:pos="1934"/>
        </w:tabs>
        <w:spacing w:before="0" w:after="0" w:line="417" w:lineRule="auto"/>
        <w:ind w:left="1093" w:leftChars="0" w:right="955" w:rightChars="0"/>
        <w:jc w:val="left"/>
        <w:rPr>
          <w:color w:val="auto"/>
          <w:sz w:val="21"/>
          <w:highlight w:val="none"/>
        </w:rPr>
      </w:pPr>
      <w:r>
        <w:rPr>
          <w:rFonts w:hint="eastAsia"/>
          <w:color w:val="auto"/>
          <w:highlight w:val="none"/>
          <w:lang w:val="en-US" w:eastAsia="zh-CN"/>
        </w:rPr>
        <w:t xml:space="preserve">10.2.14 </w:t>
      </w:r>
      <w:r>
        <w:rPr>
          <w:color w:val="auto"/>
          <w:highlight w:val="none"/>
        </w:rPr>
        <w:t>本工程竣工结算时，经工程竣工结算审核机构核定后，以实际施工的工程量办理结算。</w:t>
      </w:r>
    </w:p>
    <w:p>
      <w:pPr>
        <w:spacing w:after="0" w:line="417" w:lineRule="auto"/>
        <w:jc w:val="left"/>
        <w:rPr>
          <w:color w:val="auto"/>
          <w:sz w:val="21"/>
          <w:highlight w:val="none"/>
        </w:rPr>
        <w:sectPr>
          <w:footerReference r:id="rId8" w:type="default"/>
          <w:pgSz w:w="11910" w:h="16840"/>
          <w:pgMar w:top="1440" w:right="600" w:bottom="1240" w:left="860" w:header="0" w:footer="1059" w:gutter="0"/>
          <w:pgBorders>
            <w:top w:val="none" w:sz="0" w:space="0"/>
            <w:left w:val="none" w:sz="0" w:space="0"/>
            <w:bottom w:val="none" w:sz="0" w:space="0"/>
            <w:right w:val="none" w:sz="0" w:space="0"/>
          </w:pgBorders>
          <w:pgNumType w:fmt="decimal"/>
          <w:cols w:space="720" w:num="1"/>
        </w:sectPr>
      </w:pPr>
    </w:p>
    <w:p>
      <w:pPr>
        <w:pStyle w:val="9"/>
        <w:spacing w:before="44"/>
        <w:ind w:left="901" w:firstLine="0"/>
        <w:rPr>
          <w:color w:val="auto"/>
          <w:highlight w:val="none"/>
        </w:rPr>
      </w:pPr>
      <w:r>
        <w:rPr>
          <w:color w:val="auto"/>
          <w:highlight w:val="none"/>
        </w:rPr>
        <w:t>附表一：问题澄清通知</w:t>
      </w:r>
    </w:p>
    <w:p>
      <w:pPr>
        <w:pStyle w:val="14"/>
        <w:rPr>
          <w:b/>
          <w:color w:val="auto"/>
          <w:sz w:val="20"/>
          <w:highlight w:val="none"/>
        </w:rPr>
      </w:pPr>
    </w:p>
    <w:p>
      <w:pPr>
        <w:pStyle w:val="14"/>
        <w:rPr>
          <w:b/>
          <w:color w:val="auto"/>
          <w:sz w:val="20"/>
          <w:highlight w:val="none"/>
        </w:rPr>
      </w:pPr>
    </w:p>
    <w:p>
      <w:pPr>
        <w:pStyle w:val="14"/>
        <w:spacing w:before="6"/>
        <w:rPr>
          <w:b/>
          <w:color w:val="auto"/>
          <w:sz w:val="19"/>
          <w:highlight w:val="none"/>
        </w:rPr>
      </w:pPr>
    </w:p>
    <w:p>
      <w:pPr>
        <w:bidi w:val="0"/>
        <w:jc w:val="center"/>
        <w:rPr>
          <w:color w:val="auto"/>
          <w:sz w:val="28"/>
          <w:szCs w:val="28"/>
          <w:highlight w:val="none"/>
        </w:rPr>
      </w:pPr>
      <w:r>
        <w:rPr>
          <w:color w:val="auto"/>
          <w:sz w:val="28"/>
          <w:szCs w:val="28"/>
          <w:highlight w:val="none"/>
        </w:rPr>
        <w:t>问题澄清通知</w:t>
      </w:r>
    </w:p>
    <w:p>
      <w:pPr>
        <w:pStyle w:val="14"/>
        <w:spacing w:before="9"/>
        <w:rPr>
          <w:color w:val="auto"/>
          <w:sz w:val="23"/>
          <w:highlight w:val="none"/>
        </w:rPr>
      </w:pPr>
    </w:p>
    <w:p>
      <w:pPr>
        <w:pStyle w:val="14"/>
        <w:spacing w:before="1"/>
        <w:ind w:right="2213"/>
        <w:jc w:val="center"/>
        <w:rPr>
          <w:color w:val="auto"/>
          <w:highlight w:val="none"/>
        </w:rPr>
      </w:pPr>
      <w:r>
        <w:rPr>
          <w:color w:val="auto"/>
          <w:highlight w:val="none"/>
        </w:rPr>
        <w:t>编号：</w:t>
      </w:r>
    </w:p>
    <w:p>
      <w:pPr>
        <w:pStyle w:val="14"/>
        <w:rPr>
          <w:color w:val="auto"/>
          <w:sz w:val="20"/>
          <w:highlight w:val="none"/>
        </w:rPr>
      </w:pPr>
    </w:p>
    <w:p>
      <w:pPr>
        <w:pStyle w:val="14"/>
        <w:rPr>
          <w:color w:val="auto"/>
          <w:sz w:val="20"/>
          <w:highlight w:val="none"/>
        </w:rPr>
      </w:pPr>
    </w:p>
    <w:p>
      <w:pPr>
        <w:pStyle w:val="14"/>
        <w:spacing w:before="7"/>
        <w:rPr>
          <w:color w:val="auto"/>
          <w:sz w:val="18"/>
          <w:highlight w:val="none"/>
        </w:rPr>
      </w:pPr>
    </w:p>
    <w:p>
      <w:pPr>
        <w:pStyle w:val="14"/>
        <w:tabs>
          <w:tab w:val="left" w:pos="2377"/>
        </w:tabs>
        <w:ind w:left="1111"/>
        <w:rPr>
          <w:color w:val="auto"/>
          <w:highlight w:val="none"/>
        </w:rPr>
      </w:pPr>
      <w:r>
        <w:rPr>
          <w:color w:val="auto"/>
          <w:highlight w:val="none"/>
        </w:rPr>
        <w:t xml:space="preserve"> </w:t>
      </w:r>
      <w:r>
        <w:rPr>
          <w:color w:val="auto"/>
          <w:highlight w:val="none"/>
          <w:u w:val="single"/>
        </w:rPr>
        <w:tab/>
      </w:r>
      <w:r>
        <w:rPr>
          <w:color w:val="auto"/>
          <w:highlight w:val="none"/>
        </w:rPr>
        <w:t>（投标人名称）：</w:t>
      </w:r>
    </w:p>
    <w:p>
      <w:pPr>
        <w:pStyle w:val="14"/>
        <w:rPr>
          <w:color w:val="auto"/>
          <w:sz w:val="20"/>
          <w:highlight w:val="none"/>
        </w:rPr>
      </w:pPr>
    </w:p>
    <w:p>
      <w:pPr>
        <w:pStyle w:val="14"/>
        <w:rPr>
          <w:color w:val="auto"/>
          <w:sz w:val="20"/>
          <w:highlight w:val="none"/>
        </w:rPr>
      </w:pPr>
    </w:p>
    <w:p>
      <w:pPr>
        <w:pStyle w:val="14"/>
        <w:rPr>
          <w:color w:val="auto"/>
          <w:sz w:val="19"/>
          <w:highlight w:val="none"/>
        </w:rPr>
      </w:pPr>
    </w:p>
    <w:p>
      <w:pPr>
        <w:pStyle w:val="14"/>
        <w:tabs>
          <w:tab w:val="left" w:pos="3213"/>
          <w:tab w:val="left" w:pos="5324"/>
        </w:tabs>
        <w:spacing w:line="278" w:lineRule="auto"/>
        <w:ind w:left="1535" w:right="950" w:hanging="1"/>
        <w:rPr>
          <w:color w:val="auto"/>
          <w:highlight w:val="none"/>
        </w:rPr>
      </w:pPr>
      <w:r>
        <w:rPr>
          <w:color w:val="auto"/>
          <w:highlight w:val="none"/>
          <w:u w:val="single"/>
        </w:rPr>
        <w:t xml:space="preserve"> </w:t>
      </w:r>
      <w:r>
        <w:rPr>
          <w:color w:val="auto"/>
          <w:highlight w:val="none"/>
          <w:u w:val="single"/>
        </w:rPr>
        <w:tab/>
      </w:r>
      <w:r>
        <w:rPr>
          <w:color w:val="auto"/>
          <w:highlight w:val="none"/>
          <w:u w:val="single"/>
        </w:rPr>
        <w:t xml:space="preserve"> </w:t>
      </w:r>
      <w:r>
        <w:rPr>
          <w:color w:val="auto"/>
          <w:highlight w:val="none"/>
        </w:rPr>
        <w:t>（</w:t>
      </w:r>
      <w:r>
        <w:rPr>
          <w:rFonts w:hint="eastAsia"/>
          <w:color w:val="auto"/>
          <w:highlight w:val="none"/>
          <w:lang w:eastAsia="zh-CN"/>
        </w:rPr>
        <w:t>工程名称</w:t>
      </w:r>
      <w:r>
        <w:rPr>
          <w:color w:val="auto"/>
          <w:highlight w:val="none"/>
        </w:rPr>
        <w:t>）</w:t>
      </w:r>
      <w:r>
        <w:rPr>
          <w:color w:val="auto"/>
          <w:highlight w:val="none"/>
          <w:u w:val="single"/>
        </w:rPr>
        <w:t xml:space="preserve"> </w:t>
      </w:r>
      <w:r>
        <w:rPr>
          <w:color w:val="auto"/>
          <w:highlight w:val="none"/>
          <w:u w:val="single"/>
        </w:rPr>
        <w:tab/>
      </w:r>
      <w:r>
        <w:rPr>
          <w:color w:val="auto"/>
          <w:highlight w:val="none"/>
        </w:rPr>
        <w:t>标段施工招标的评标委员会，对你方的投标文件进行了仔细的审查，现需你方对下列问题以书面形式予以澄清：</w:t>
      </w: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spacing w:before="2"/>
        <w:rPr>
          <w:color w:val="auto"/>
          <w:sz w:val="17"/>
          <w:highlight w:val="none"/>
        </w:rPr>
      </w:pPr>
    </w:p>
    <w:p>
      <w:pPr>
        <w:pStyle w:val="14"/>
        <w:ind w:left="1324"/>
        <w:rPr>
          <w:color w:val="auto"/>
          <w:highlight w:val="none"/>
        </w:rPr>
      </w:pPr>
      <w:r>
        <w:rPr>
          <w:color w:val="auto"/>
          <w:highlight w:val="none"/>
        </w:rPr>
        <w:t>1.</w:t>
      </w:r>
    </w:p>
    <w:p>
      <w:pPr>
        <w:pStyle w:val="14"/>
        <w:spacing w:before="9"/>
        <w:rPr>
          <w:color w:val="auto"/>
          <w:sz w:val="16"/>
          <w:highlight w:val="none"/>
        </w:rPr>
      </w:pPr>
    </w:p>
    <w:p>
      <w:pPr>
        <w:pStyle w:val="14"/>
        <w:ind w:left="1324"/>
        <w:rPr>
          <w:rFonts w:hint="eastAsia" w:eastAsia="宋体"/>
          <w:color w:val="auto"/>
          <w:highlight w:val="none"/>
          <w:lang w:eastAsia="zh-CN"/>
        </w:rPr>
      </w:pPr>
      <w:r>
        <w:rPr>
          <w:color w:val="auto"/>
          <w:highlight w:val="none"/>
        </w:rPr>
        <w:t>2</w:t>
      </w:r>
      <w:r>
        <w:rPr>
          <w:rFonts w:hint="eastAsia"/>
          <w:color w:val="auto"/>
          <w:highlight w:val="none"/>
          <w:lang w:eastAsia="zh-CN"/>
        </w:rPr>
        <w:t>.</w:t>
      </w:r>
    </w:p>
    <w:p>
      <w:pPr>
        <w:pStyle w:val="14"/>
        <w:spacing w:before="8"/>
        <w:rPr>
          <w:color w:val="auto"/>
          <w:sz w:val="16"/>
          <w:highlight w:val="none"/>
        </w:rPr>
      </w:pPr>
    </w:p>
    <w:p>
      <w:pPr>
        <w:pStyle w:val="14"/>
        <w:ind w:left="1429"/>
        <w:rPr>
          <w:color w:val="auto"/>
          <w:highlight w:val="none"/>
        </w:rPr>
      </w:pPr>
      <w:r>
        <w:rPr>
          <w:color w:val="auto"/>
          <w:highlight w:val="none"/>
        </w:rPr>
        <w:t>......</w:t>
      </w: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spacing w:before="2"/>
        <w:rPr>
          <w:color w:val="auto"/>
          <w:sz w:val="17"/>
          <w:highlight w:val="none"/>
        </w:rPr>
      </w:pPr>
    </w:p>
    <w:p>
      <w:pPr>
        <w:pStyle w:val="14"/>
        <w:tabs>
          <w:tab w:val="left" w:pos="3956"/>
          <w:tab w:val="left" w:pos="4695"/>
          <w:tab w:val="left" w:pos="5430"/>
          <w:tab w:val="left" w:pos="6169"/>
          <w:tab w:val="left" w:pos="8115"/>
        </w:tabs>
        <w:spacing w:line="278" w:lineRule="auto"/>
        <w:ind w:left="1324" w:right="971"/>
        <w:rPr>
          <w:color w:val="auto"/>
          <w:highlight w:val="none"/>
        </w:rPr>
      </w:pPr>
      <w:r>
        <w:rPr>
          <w:color w:val="auto"/>
          <w:highlight w:val="none"/>
        </w:rPr>
        <w:t>请将上述问题的澄清于</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spacing w:val="-5"/>
          <w:highlight w:val="none"/>
          <w:u w:val="single"/>
        </w:rPr>
        <w:t xml:space="preserve"> </w:t>
      </w:r>
      <w:r>
        <w:rPr>
          <w:color w:val="auto"/>
          <w:spacing w:val="-5"/>
          <w:highlight w:val="none"/>
          <w:u w:val="single"/>
        </w:rPr>
        <w:tab/>
      </w:r>
      <w:r>
        <w:rPr>
          <w:color w:val="auto"/>
          <w:highlight w:val="none"/>
        </w:rPr>
        <w:t>日</w:t>
      </w:r>
      <w:r>
        <w:rPr>
          <w:color w:val="auto"/>
          <w:spacing w:val="-6"/>
          <w:highlight w:val="none"/>
          <w:u w:val="single"/>
        </w:rPr>
        <w:t xml:space="preserve"> </w:t>
      </w:r>
      <w:r>
        <w:rPr>
          <w:color w:val="auto"/>
          <w:spacing w:val="-6"/>
          <w:highlight w:val="none"/>
          <w:u w:val="single"/>
        </w:rPr>
        <w:tab/>
      </w:r>
      <w:r>
        <w:rPr>
          <w:color w:val="auto"/>
          <w:highlight w:val="none"/>
        </w:rPr>
        <w:t>时前递交至</w:t>
      </w:r>
      <w:r>
        <w:rPr>
          <w:color w:val="auto"/>
          <w:highlight w:val="none"/>
          <w:u w:val="single"/>
        </w:rPr>
        <w:t xml:space="preserve"> </w:t>
      </w:r>
      <w:r>
        <w:rPr>
          <w:color w:val="auto"/>
          <w:highlight w:val="none"/>
          <w:u w:val="single"/>
        </w:rPr>
        <w:tab/>
      </w:r>
      <w:r>
        <w:rPr>
          <w:color w:val="auto"/>
          <w:highlight w:val="none"/>
          <w:u w:val="single"/>
        </w:rPr>
        <w:t>（</w:t>
      </w:r>
      <w:r>
        <w:rPr>
          <w:color w:val="auto"/>
          <w:highlight w:val="none"/>
        </w:rPr>
        <w:t>详细地址）或传真至</w:t>
      </w:r>
      <w:r>
        <w:rPr>
          <w:color w:val="auto"/>
          <w:highlight w:val="none"/>
          <w:u w:val="single"/>
        </w:rPr>
        <w:t xml:space="preserve"> </w:t>
      </w:r>
      <w:r>
        <w:rPr>
          <w:color w:val="auto"/>
          <w:highlight w:val="none"/>
          <w:u w:val="single"/>
        </w:rPr>
        <w:tab/>
      </w:r>
      <w:r>
        <w:rPr>
          <w:color w:val="auto"/>
          <w:highlight w:val="none"/>
        </w:rPr>
        <w:t>（传真号码</w:t>
      </w:r>
      <w:r>
        <w:rPr>
          <w:color w:val="auto"/>
          <w:spacing w:val="-53"/>
          <w:highlight w:val="none"/>
        </w:rPr>
        <w:t>）。</w:t>
      </w:r>
      <w:r>
        <w:rPr>
          <w:color w:val="auto"/>
          <w:highlight w:val="none"/>
        </w:rPr>
        <w:t xml:space="preserve">采用传真方式的，应在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r>
        <w:rPr>
          <w:color w:val="auto"/>
          <w:highlight w:val="none"/>
          <w:u w:val="single"/>
        </w:rPr>
        <w:t xml:space="preserve"> </w:t>
      </w:r>
      <w:r>
        <w:rPr>
          <w:color w:val="auto"/>
          <w:highlight w:val="none"/>
          <w:u w:val="single"/>
        </w:rPr>
        <w:tab/>
      </w:r>
      <w:r>
        <w:rPr>
          <w:color w:val="auto"/>
          <w:highlight w:val="none"/>
        </w:rPr>
        <w:t>时前将原件递交至</w:t>
      </w:r>
      <w:r>
        <w:rPr>
          <w:color w:val="auto"/>
          <w:highlight w:val="none"/>
          <w:u w:val="single"/>
        </w:rPr>
        <w:t xml:space="preserve"> </w:t>
      </w:r>
      <w:r>
        <w:rPr>
          <w:color w:val="auto"/>
          <w:highlight w:val="none"/>
          <w:u w:val="single"/>
        </w:rPr>
        <w:tab/>
      </w:r>
      <w:r>
        <w:rPr>
          <w:color w:val="auto"/>
          <w:spacing w:val="-5"/>
          <w:highlight w:val="none"/>
        </w:rPr>
        <w:t>（</w:t>
      </w:r>
      <w:r>
        <w:rPr>
          <w:color w:val="auto"/>
          <w:highlight w:val="none"/>
        </w:rPr>
        <w:t>详细地址）。</w:t>
      </w:r>
    </w:p>
    <w:p>
      <w:pPr>
        <w:pStyle w:val="14"/>
        <w:rPr>
          <w:color w:val="auto"/>
          <w:sz w:val="22"/>
          <w:highlight w:val="none"/>
        </w:rPr>
      </w:pPr>
    </w:p>
    <w:p>
      <w:pPr>
        <w:pStyle w:val="14"/>
        <w:rPr>
          <w:color w:val="auto"/>
          <w:sz w:val="22"/>
          <w:highlight w:val="none"/>
        </w:rPr>
      </w:pPr>
    </w:p>
    <w:p>
      <w:pPr>
        <w:pStyle w:val="14"/>
        <w:rPr>
          <w:color w:val="auto"/>
          <w:sz w:val="22"/>
          <w:highlight w:val="none"/>
        </w:rPr>
      </w:pPr>
    </w:p>
    <w:p>
      <w:pPr>
        <w:pStyle w:val="14"/>
        <w:rPr>
          <w:color w:val="auto"/>
          <w:sz w:val="22"/>
          <w:highlight w:val="none"/>
        </w:rPr>
      </w:pPr>
    </w:p>
    <w:p>
      <w:pPr>
        <w:pStyle w:val="14"/>
        <w:spacing w:before="11"/>
        <w:rPr>
          <w:color w:val="auto"/>
          <w:sz w:val="19"/>
          <w:highlight w:val="none"/>
        </w:rPr>
      </w:pPr>
    </w:p>
    <w:p>
      <w:pPr>
        <w:pStyle w:val="14"/>
        <w:tabs>
          <w:tab w:val="left" w:pos="8651"/>
        </w:tabs>
        <w:spacing w:before="1"/>
        <w:ind w:left="6107"/>
        <w:rPr>
          <w:color w:val="auto"/>
          <w:highlight w:val="none"/>
        </w:rPr>
      </w:pPr>
      <w:r>
        <w:rPr>
          <w:color w:val="auto"/>
          <w:highlight w:val="none"/>
        </w:rPr>
        <w:t>评标工作组负责人：</w:t>
      </w:r>
      <w:r>
        <w:rPr>
          <w:color w:val="auto"/>
          <w:highlight w:val="none"/>
          <w:u w:val="single"/>
        </w:rPr>
        <w:t xml:space="preserve"> </w:t>
      </w:r>
      <w:r>
        <w:rPr>
          <w:color w:val="auto"/>
          <w:highlight w:val="none"/>
          <w:u w:val="single"/>
        </w:rPr>
        <w:tab/>
      </w:r>
      <w:r>
        <w:rPr>
          <w:color w:val="auto"/>
          <w:highlight w:val="none"/>
        </w:rPr>
        <w:t>（签字）</w:t>
      </w:r>
    </w:p>
    <w:p>
      <w:pPr>
        <w:pStyle w:val="14"/>
        <w:rPr>
          <w:color w:val="auto"/>
          <w:sz w:val="20"/>
          <w:highlight w:val="none"/>
        </w:rPr>
      </w:pPr>
    </w:p>
    <w:p>
      <w:pPr>
        <w:pStyle w:val="14"/>
        <w:rPr>
          <w:color w:val="auto"/>
          <w:sz w:val="20"/>
          <w:highlight w:val="none"/>
        </w:rPr>
      </w:pPr>
    </w:p>
    <w:p>
      <w:pPr>
        <w:pStyle w:val="14"/>
        <w:spacing w:before="2"/>
        <w:rPr>
          <w:color w:val="auto"/>
          <w:sz w:val="18"/>
          <w:highlight w:val="none"/>
        </w:rPr>
      </w:pPr>
    </w:p>
    <w:p>
      <w:pPr>
        <w:pStyle w:val="14"/>
        <w:spacing w:before="1"/>
        <w:ind w:right="1583"/>
        <w:jc w:val="right"/>
        <w:rPr>
          <w:color w:val="auto"/>
          <w:highlight w:val="none"/>
        </w:rPr>
      </w:pPr>
      <w:r>
        <w:rPr>
          <w:rFonts w:ascii="Times New Roman" w:eastAsia="Times New Roman"/>
          <w:color w:val="auto"/>
          <w:w w:val="99"/>
          <w:highlight w:val="none"/>
          <w:u w:val="single"/>
        </w:rPr>
        <w:t xml:space="preserve"> </w:t>
      </w:r>
      <w:r>
        <w:rPr>
          <w:rFonts w:ascii="Times New Roman" w:eastAsia="Times New Roman"/>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eastAsia="Times New Roman"/>
          <w:color w:val="auto"/>
          <w:highlight w:val="none"/>
          <w:u w:val="single"/>
        </w:rPr>
        <w:t xml:space="preserve"> </w:t>
      </w:r>
      <w:r>
        <w:rPr>
          <w:color w:val="auto"/>
          <w:highlight w:val="none"/>
        </w:rPr>
        <w:t>年</w:t>
      </w:r>
      <w:r>
        <w:rPr>
          <w:rFonts w:hint="eastAsia"/>
          <w:color w:val="auto"/>
          <w:highlight w:val="none"/>
          <w:lang w:val="en-US" w:eastAsia="zh-CN"/>
        </w:rPr>
        <w:t xml:space="preserve">  </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color w:val="auto"/>
          <w:spacing w:val="101"/>
          <w:highlight w:val="none"/>
          <w:u w:val="single"/>
        </w:rPr>
        <w:t xml:space="preserve"> </w:t>
      </w:r>
      <w:r>
        <w:rPr>
          <w:rFonts w:hint="eastAsia"/>
          <w:color w:val="auto"/>
          <w:spacing w:val="101"/>
          <w:highlight w:val="none"/>
          <w:u w:val="single"/>
          <w:lang w:val="en-US" w:eastAsia="zh-CN"/>
        </w:rPr>
        <w:t xml:space="preserve"> </w:t>
      </w:r>
      <w:r>
        <w:rPr>
          <w:color w:val="auto"/>
          <w:highlight w:val="none"/>
        </w:rPr>
        <w:t>日</w:t>
      </w:r>
    </w:p>
    <w:p>
      <w:pPr>
        <w:spacing w:after="0"/>
        <w:jc w:val="right"/>
        <w:rPr>
          <w:color w:val="auto"/>
          <w:highlight w:val="none"/>
        </w:rPr>
        <w:sectPr>
          <w:pgSz w:w="11910" w:h="16840"/>
          <w:pgMar w:top="1360" w:right="600" w:bottom="1240" w:left="860" w:header="0" w:footer="1059" w:gutter="0"/>
          <w:pgBorders>
            <w:top w:val="none" w:sz="0" w:space="0"/>
            <w:left w:val="none" w:sz="0" w:space="0"/>
            <w:bottom w:val="none" w:sz="0" w:space="0"/>
            <w:right w:val="none" w:sz="0" w:space="0"/>
          </w:pgBorders>
          <w:pgNumType w:fmt="decimal"/>
          <w:cols w:space="720" w:num="1"/>
        </w:sectPr>
      </w:pPr>
    </w:p>
    <w:p>
      <w:pPr>
        <w:pStyle w:val="9"/>
        <w:spacing w:before="44"/>
        <w:ind w:left="901" w:firstLine="0"/>
        <w:rPr>
          <w:color w:val="auto"/>
          <w:highlight w:val="none"/>
        </w:rPr>
      </w:pPr>
      <w:r>
        <w:rPr>
          <w:color w:val="auto"/>
          <w:highlight w:val="none"/>
        </w:rPr>
        <w:t>附表二：问题的澄清</w:t>
      </w:r>
    </w:p>
    <w:p>
      <w:pPr>
        <w:pStyle w:val="14"/>
        <w:rPr>
          <w:b/>
          <w:color w:val="auto"/>
          <w:sz w:val="20"/>
          <w:highlight w:val="none"/>
        </w:rPr>
      </w:pPr>
    </w:p>
    <w:p>
      <w:pPr>
        <w:pStyle w:val="14"/>
        <w:spacing w:before="5"/>
        <w:rPr>
          <w:b/>
          <w:color w:val="auto"/>
          <w:sz w:val="25"/>
          <w:highlight w:val="none"/>
        </w:rPr>
      </w:pPr>
    </w:p>
    <w:p>
      <w:pPr>
        <w:bidi w:val="0"/>
        <w:jc w:val="center"/>
        <w:rPr>
          <w:color w:val="auto"/>
          <w:highlight w:val="none"/>
        </w:rPr>
      </w:pPr>
      <w:r>
        <w:rPr>
          <w:color w:val="auto"/>
          <w:sz w:val="28"/>
          <w:szCs w:val="28"/>
          <w:highlight w:val="none"/>
        </w:rPr>
        <w:t>问题的澄清</w:t>
      </w:r>
    </w:p>
    <w:p>
      <w:pPr>
        <w:pStyle w:val="14"/>
        <w:spacing w:before="6"/>
        <w:rPr>
          <w:color w:val="auto"/>
          <w:sz w:val="20"/>
          <w:highlight w:val="none"/>
        </w:rPr>
      </w:pPr>
    </w:p>
    <w:p>
      <w:pPr>
        <w:pStyle w:val="14"/>
        <w:spacing w:before="1"/>
        <w:ind w:right="2002"/>
        <w:jc w:val="center"/>
        <w:rPr>
          <w:color w:val="auto"/>
          <w:highlight w:val="none"/>
        </w:rPr>
      </w:pPr>
      <w:r>
        <w:rPr>
          <w:color w:val="auto"/>
          <w:highlight w:val="none"/>
        </w:rPr>
        <w:t>编号：</w:t>
      </w:r>
    </w:p>
    <w:p>
      <w:pPr>
        <w:pStyle w:val="14"/>
        <w:rPr>
          <w:color w:val="auto"/>
          <w:sz w:val="20"/>
          <w:highlight w:val="none"/>
        </w:rPr>
      </w:pPr>
    </w:p>
    <w:p>
      <w:pPr>
        <w:pStyle w:val="14"/>
        <w:rPr>
          <w:color w:val="auto"/>
          <w:sz w:val="20"/>
          <w:highlight w:val="none"/>
        </w:rPr>
      </w:pPr>
    </w:p>
    <w:p>
      <w:pPr>
        <w:pStyle w:val="14"/>
        <w:tabs>
          <w:tab w:val="left" w:pos="1896"/>
          <w:tab w:val="left" w:pos="4106"/>
        </w:tabs>
        <w:spacing w:before="156"/>
        <w:ind w:right="2035"/>
        <w:jc w:val="center"/>
        <w:rPr>
          <w:color w:val="auto"/>
          <w:highlight w:val="none"/>
        </w:rPr>
      </w:pPr>
      <w:r>
        <w:rPr>
          <w:rFonts w:ascii="Times New Roman" w:eastAsia="Times New Roman"/>
          <w:color w:val="auto"/>
          <w:w w:val="99"/>
          <w:highlight w:val="none"/>
          <w:u w:val="single"/>
        </w:rPr>
        <w:t xml:space="preserve"> </w:t>
      </w:r>
      <w:r>
        <w:rPr>
          <w:rFonts w:ascii="Times New Roman" w:eastAsia="Times New Roman"/>
          <w:color w:val="auto"/>
          <w:highlight w:val="none"/>
          <w:u w:val="single"/>
        </w:rPr>
        <w:tab/>
      </w:r>
      <w:r>
        <w:rPr>
          <w:color w:val="auto"/>
          <w:highlight w:val="none"/>
          <w:u w:val="single"/>
        </w:rPr>
        <w:t>（</w:t>
      </w:r>
      <w:r>
        <w:rPr>
          <w:rFonts w:hint="eastAsia"/>
          <w:color w:val="auto"/>
          <w:highlight w:val="none"/>
          <w:lang w:eastAsia="zh-CN"/>
        </w:rPr>
        <w:t>工程名称</w:t>
      </w:r>
      <w:r>
        <w:rPr>
          <w:color w:val="auto"/>
          <w:highlight w:val="none"/>
        </w:rPr>
        <w:t>）</w:t>
      </w:r>
      <w:r>
        <w:rPr>
          <w:color w:val="auto"/>
          <w:highlight w:val="none"/>
          <w:u w:val="single"/>
        </w:rPr>
        <w:t xml:space="preserve"> </w:t>
      </w:r>
      <w:r>
        <w:rPr>
          <w:color w:val="auto"/>
          <w:highlight w:val="none"/>
          <w:u w:val="single"/>
        </w:rPr>
        <w:tab/>
      </w:r>
      <w:r>
        <w:rPr>
          <w:color w:val="auto"/>
          <w:highlight w:val="none"/>
        </w:rPr>
        <w:t>标段施工招标评标委员会：</w:t>
      </w:r>
    </w:p>
    <w:p>
      <w:pPr>
        <w:pStyle w:val="14"/>
        <w:spacing w:before="3"/>
        <w:rPr>
          <w:color w:val="auto"/>
          <w:sz w:val="24"/>
          <w:highlight w:val="none"/>
        </w:rPr>
      </w:pPr>
    </w:p>
    <w:p>
      <w:pPr>
        <w:pStyle w:val="14"/>
        <w:tabs>
          <w:tab w:val="left" w:pos="4271"/>
        </w:tabs>
        <w:spacing w:line="710" w:lineRule="atLeast"/>
        <w:ind w:left="1170" w:right="3875" w:firstLine="153"/>
        <w:rPr>
          <w:color w:val="auto"/>
          <w:highlight w:val="none"/>
        </w:rPr>
      </w:pPr>
      <w:r>
        <w:rPr>
          <w:color w:val="auto"/>
          <w:highlight w:val="none"/>
        </w:rPr>
        <w:t>问题澄清通知（编号：</w:t>
      </w:r>
      <w:r>
        <w:rPr>
          <w:color w:val="auto"/>
          <w:highlight w:val="none"/>
          <w:u w:val="single"/>
        </w:rPr>
        <w:t xml:space="preserve"> </w:t>
      </w:r>
      <w:r>
        <w:rPr>
          <w:color w:val="auto"/>
          <w:highlight w:val="none"/>
          <w:u w:val="single"/>
        </w:rPr>
        <w:tab/>
      </w:r>
      <w:r>
        <w:rPr>
          <w:color w:val="auto"/>
          <w:highlight w:val="none"/>
        </w:rPr>
        <w:t>）已收悉，现澄清如下</w:t>
      </w:r>
      <w:r>
        <w:rPr>
          <w:color w:val="auto"/>
          <w:spacing w:val="-13"/>
          <w:highlight w:val="none"/>
        </w:rPr>
        <w:t xml:space="preserve">： </w:t>
      </w:r>
      <w:r>
        <w:rPr>
          <w:color w:val="auto"/>
          <w:highlight w:val="none"/>
        </w:rPr>
        <w:t>1.</w:t>
      </w:r>
    </w:p>
    <w:p>
      <w:pPr>
        <w:pStyle w:val="14"/>
        <w:spacing w:before="6"/>
        <w:rPr>
          <w:color w:val="auto"/>
          <w:sz w:val="16"/>
          <w:highlight w:val="none"/>
        </w:rPr>
      </w:pPr>
    </w:p>
    <w:p>
      <w:pPr>
        <w:pStyle w:val="14"/>
        <w:ind w:left="1170"/>
        <w:rPr>
          <w:color w:val="auto"/>
          <w:highlight w:val="none"/>
        </w:rPr>
      </w:pPr>
      <w:r>
        <w:rPr>
          <w:color w:val="auto"/>
          <w:highlight w:val="none"/>
        </w:rPr>
        <w:t>2.</w:t>
      </w: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17"/>
          <w:highlight w:val="none"/>
        </w:rPr>
      </w:pPr>
    </w:p>
    <w:p>
      <w:pPr>
        <w:pStyle w:val="14"/>
        <w:ind w:left="1064"/>
        <w:rPr>
          <w:color w:val="auto"/>
          <w:highlight w:val="none"/>
        </w:rPr>
      </w:pPr>
      <w:r>
        <w:rPr>
          <w:color w:val="auto"/>
          <w:highlight w:val="none"/>
        </w:rPr>
        <w:t>.....</w:t>
      </w: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rPr>
          <w:color w:val="auto"/>
          <w:sz w:val="20"/>
          <w:highlight w:val="none"/>
        </w:rPr>
      </w:pPr>
    </w:p>
    <w:p>
      <w:pPr>
        <w:pStyle w:val="14"/>
        <w:tabs>
          <w:tab w:val="left" w:pos="7431"/>
        </w:tabs>
        <w:spacing w:before="148"/>
        <w:ind w:left="4064"/>
        <w:rPr>
          <w:color w:val="auto"/>
          <w:highlight w:val="none"/>
        </w:rPr>
      </w:pPr>
      <w:r>
        <w:rPr>
          <w:color w:val="auto"/>
          <w:highlight w:val="none"/>
        </w:rPr>
        <w:t>投标人</w:t>
      </w:r>
      <w:r>
        <w:rPr>
          <w:color w:val="auto"/>
          <w:spacing w:val="-6"/>
          <w:highlight w:val="none"/>
        </w:rPr>
        <w:t>：</w:t>
      </w:r>
      <w:r>
        <w:rPr>
          <w:color w:val="auto"/>
          <w:spacing w:val="-6"/>
          <w:highlight w:val="none"/>
          <w:u w:val="single"/>
        </w:rPr>
        <w:t xml:space="preserve"> </w:t>
      </w:r>
      <w:r>
        <w:rPr>
          <w:color w:val="auto"/>
          <w:spacing w:val="-6"/>
          <w:highlight w:val="none"/>
          <w:u w:val="single"/>
        </w:rPr>
        <w:tab/>
      </w:r>
      <w:r>
        <w:rPr>
          <w:color w:val="auto"/>
          <w:w w:val="95"/>
          <w:highlight w:val="none"/>
        </w:rPr>
        <w:t>（</w:t>
      </w:r>
      <w:r>
        <w:rPr>
          <w:color w:val="auto"/>
          <w:highlight w:val="none"/>
        </w:rPr>
        <w:t>盖单位章</w:t>
      </w:r>
      <w:r>
        <w:rPr>
          <w:color w:val="auto"/>
          <w:w w:val="95"/>
          <w:highlight w:val="none"/>
        </w:rPr>
        <w:t>）</w:t>
      </w:r>
    </w:p>
    <w:p>
      <w:pPr>
        <w:pStyle w:val="14"/>
        <w:rPr>
          <w:color w:val="auto"/>
          <w:sz w:val="22"/>
          <w:highlight w:val="none"/>
        </w:rPr>
      </w:pPr>
    </w:p>
    <w:p>
      <w:pPr>
        <w:pStyle w:val="14"/>
        <w:rPr>
          <w:color w:val="auto"/>
          <w:sz w:val="22"/>
          <w:highlight w:val="none"/>
        </w:rPr>
      </w:pPr>
    </w:p>
    <w:p>
      <w:pPr>
        <w:pStyle w:val="14"/>
        <w:tabs>
          <w:tab w:val="left" w:pos="7851"/>
        </w:tabs>
        <w:spacing w:before="190"/>
        <w:ind w:left="4064"/>
        <w:rPr>
          <w:color w:val="auto"/>
          <w:highlight w:val="none"/>
        </w:rPr>
      </w:pPr>
      <w:r>
        <w:rPr>
          <w:color w:val="auto"/>
          <w:highlight w:val="none"/>
        </w:rPr>
        <w:t>法定代表人或其委托代理人：</w:t>
      </w:r>
      <w:r>
        <w:rPr>
          <w:color w:val="auto"/>
          <w:highlight w:val="none"/>
          <w:u w:val="single"/>
        </w:rPr>
        <w:t xml:space="preserve"> </w:t>
      </w:r>
      <w:r>
        <w:rPr>
          <w:color w:val="auto"/>
          <w:highlight w:val="none"/>
          <w:u w:val="single"/>
        </w:rPr>
        <w:tab/>
      </w:r>
      <w:r>
        <w:rPr>
          <w:color w:val="auto"/>
          <w:w w:val="95"/>
          <w:highlight w:val="none"/>
        </w:rPr>
        <w:t>（</w:t>
      </w:r>
      <w:r>
        <w:rPr>
          <w:color w:val="auto"/>
          <w:highlight w:val="none"/>
        </w:rPr>
        <w:t>签字</w:t>
      </w:r>
      <w:r>
        <w:rPr>
          <w:color w:val="auto"/>
          <w:w w:val="95"/>
          <w:highlight w:val="none"/>
        </w:rPr>
        <w:t>）</w:t>
      </w:r>
    </w:p>
    <w:p>
      <w:pPr>
        <w:pStyle w:val="14"/>
        <w:rPr>
          <w:color w:val="auto"/>
          <w:sz w:val="20"/>
          <w:highlight w:val="none"/>
        </w:rPr>
      </w:pPr>
    </w:p>
    <w:p>
      <w:pPr>
        <w:pStyle w:val="14"/>
        <w:rPr>
          <w:color w:val="auto"/>
          <w:sz w:val="20"/>
          <w:highlight w:val="none"/>
        </w:rPr>
      </w:pPr>
    </w:p>
    <w:p>
      <w:pPr>
        <w:pStyle w:val="14"/>
        <w:spacing w:before="3"/>
        <w:rPr>
          <w:color w:val="auto"/>
          <w:sz w:val="18"/>
          <w:highlight w:val="none"/>
        </w:rPr>
      </w:pPr>
    </w:p>
    <w:p>
      <w:pPr>
        <w:pStyle w:val="14"/>
        <w:tabs>
          <w:tab w:val="left" w:pos="2025"/>
        </w:tabs>
        <w:ind w:left="1605"/>
        <w:jc w:val="center"/>
        <w:rPr>
          <w:color w:val="auto"/>
          <w:highlight w:val="none"/>
        </w:rPr>
      </w:pPr>
      <w:r>
        <w:rPr>
          <w:rFonts w:ascii="Times New Roman" w:eastAsia="Times New Roman"/>
          <w:color w:val="auto"/>
          <w:w w:val="99"/>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pPr>
        <w:spacing w:after="0"/>
        <w:jc w:val="center"/>
        <w:rPr>
          <w:color w:val="auto"/>
          <w:highlight w:val="none"/>
        </w:rPr>
        <w:sectPr>
          <w:footerReference r:id="rId9" w:type="default"/>
          <w:pgSz w:w="11910" w:h="16840"/>
          <w:pgMar w:top="1360" w:right="600" w:bottom="1160" w:left="860" w:header="0" w:footer="979" w:gutter="0"/>
          <w:pgBorders>
            <w:top w:val="none" w:sz="0" w:space="0"/>
            <w:left w:val="none" w:sz="0" w:space="0"/>
            <w:bottom w:val="none" w:sz="0" w:space="0"/>
            <w:right w:val="none" w:sz="0" w:space="0"/>
          </w:pgBorders>
          <w:pgNumType w:fmt="decimal"/>
          <w:cols w:space="720" w:num="1"/>
        </w:sectPr>
      </w:pPr>
    </w:p>
    <w:p>
      <w:pPr>
        <w:pStyle w:val="3"/>
        <w:bidi w:val="0"/>
        <w:outlineLvl w:val="0"/>
        <w:rPr>
          <w:b/>
          <w:color w:val="auto"/>
          <w:highlight w:val="none"/>
        </w:rPr>
      </w:pPr>
      <w:bookmarkStart w:id="5" w:name="_Toc15648"/>
      <w:r>
        <w:rPr>
          <w:color w:val="auto"/>
          <w:highlight w:val="none"/>
        </w:rPr>
        <w:t>第三章 评标办法（综合评估法）</w:t>
      </w:r>
      <w:bookmarkEnd w:id="5"/>
    </w:p>
    <w:p>
      <w:pPr>
        <w:pStyle w:val="14"/>
        <w:spacing w:before="12"/>
        <w:rPr>
          <w:b/>
          <w:color w:val="auto"/>
          <w:sz w:val="37"/>
          <w:highlight w:val="none"/>
        </w:rPr>
      </w:pPr>
    </w:p>
    <w:p>
      <w:pPr>
        <w:pStyle w:val="5"/>
        <w:rPr>
          <w:color w:val="auto"/>
          <w:highlight w:val="none"/>
        </w:rPr>
      </w:pPr>
      <w:r>
        <w:rPr>
          <w:color w:val="auto"/>
          <w:highlight w:val="none"/>
        </w:rPr>
        <w:t>评标办法前附表</w:t>
      </w:r>
    </w:p>
    <w:p>
      <w:pPr>
        <w:pStyle w:val="14"/>
        <w:spacing w:before="4"/>
        <w:rPr>
          <w:b/>
          <w:color w:val="auto"/>
          <w:sz w:val="9"/>
          <w:highlight w:val="none"/>
        </w:rPr>
      </w:pPr>
    </w:p>
    <w:tbl>
      <w:tblPr>
        <w:tblStyle w:val="23"/>
        <w:tblW w:w="9182" w:type="dxa"/>
        <w:tblInd w:w="4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154"/>
        <w:gridCol w:w="1687"/>
        <w:gridCol w:w="5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08" w:type="dxa"/>
            <w:gridSpan w:val="2"/>
            <w:vAlign w:val="center"/>
          </w:tcPr>
          <w:p>
            <w:pPr>
              <w:bidi w:val="0"/>
              <w:jc w:val="center"/>
              <w:rPr>
                <w:color w:val="auto"/>
                <w:highlight w:val="none"/>
              </w:rPr>
            </w:pPr>
            <w:r>
              <w:rPr>
                <w:color w:val="auto"/>
                <w:highlight w:val="none"/>
              </w:rPr>
              <w:t>条款号</w:t>
            </w:r>
          </w:p>
        </w:tc>
        <w:tc>
          <w:tcPr>
            <w:tcW w:w="1687" w:type="dxa"/>
            <w:vAlign w:val="center"/>
          </w:tcPr>
          <w:p>
            <w:pPr>
              <w:bidi w:val="0"/>
              <w:jc w:val="center"/>
              <w:rPr>
                <w:color w:val="auto"/>
                <w:highlight w:val="none"/>
              </w:rPr>
            </w:pPr>
            <w:r>
              <w:rPr>
                <w:color w:val="auto"/>
                <w:highlight w:val="none"/>
              </w:rPr>
              <w:t>评审因素</w:t>
            </w:r>
          </w:p>
        </w:tc>
        <w:tc>
          <w:tcPr>
            <w:tcW w:w="5787" w:type="dxa"/>
            <w:vAlign w:val="center"/>
          </w:tcPr>
          <w:p>
            <w:pPr>
              <w:bidi w:val="0"/>
              <w:jc w:val="center"/>
              <w:rPr>
                <w:color w:val="auto"/>
                <w:highlight w:val="none"/>
              </w:rPr>
            </w:pPr>
            <w:r>
              <w:rPr>
                <w:color w:val="auto"/>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restart"/>
            <w:vAlign w:val="center"/>
          </w:tcPr>
          <w:p>
            <w:pPr>
              <w:bidi w:val="0"/>
              <w:jc w:val="center"/>
              <w:rPr>
                <w:color w:val="auto"/>
                <w:highlight w:val="none"/>
              </w:rPr>
            </w:pPr>
            <w:r>
              <w:rPr>
                <w:color w:val="auto"/>
                <w:highlight w:val="none"/>
              </w:rPr>
              <w:t>2.1.1</w:t>
            </w:r>
          </w:p>
        </w:tc>
        <w:tc>
          <w:tcPr>
            <w:tcW w:w="1154" w:type="dxa"/>
            <w:vMerge w:val="restart"/>
            <w:vAlign w:val="center"/>
          </w:tcPr>
          <w:p>
            <w:pPr>
              <w:pStyle w:val="29"/>
              <w:jc w:val="center"/>
              <w:rPr>
                <w:b/>
                <w:color w:val="auto"/>
                <w:sz w:val="20"/>
                <w:highlight w:val="none"/>
              </w:rPr>
            </w:pPr>
          </w:p>
          <w:p>
            <w:pPr>
              <w:bidi w:val="0"/>
              <w:jc w:val="center"/>
              <w:rPr>
                <w:color w:val="auto"/>
                <w:highlight w:val="none"/>
              </w:rPr>
            </w:pPr>
            <w:r>
              <w:rPr>
                <w:color w:val="auto"/>
                <w:highlight w:val="none"/>
              </w:rPr>
              <w:t>形式评审标准</w:t>
            </w:r>
          </w:p>
        </w:tc>
        <w:tc>
          <w:tcPr>
            <w:tcW w:w="1687" w:type="dxa"/>
            <w:vAlign w:val="center"/>
          </w:tcPr>
          <w:p>
            <w:pPr>
              <w:bidi w:val="0"/>
              <w:jc w:val="both"/>
              <w:rPr>
                <w:color w:val="auto"/>
                <w:highlight w:val="none"/>
              </w:rPr>
            </w:pPr>
            <w:r>
              <w:rPr>
                <w:color w:val="auto"/>
                <w:highlight w:val="none"/>
              </w:rPr>
              <w:t>投标人名称</w:t>
            </w:r>
          </w:p>
        </w:tc>
        <w:tc>
          <w:tcPr>
            <w:tcW w:w="5787" w:type="dxa"/>
            <w:vAlign w:val="center"/>
          </w:tcPr>
          <w:p>
            <w:pPr>
              <w:bidi w:val="0"/>
              <w:jc w:val="both"/>
              <w:rPr>
                <w:color w:val="auto"/>
                <w:highlight w:val="none"/>
              </w:rPr>
            </w:pPr>
            <w:r>
              <w:rPr>
                <w:color w:val="auto"/>
                <w:highlight w:val="none"/>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54" w:type="dxa"/>
            <w:vMerge w:val="continue"/>
            <w:tcBorders>
              <w:top w:val="nil"/>
            </w:tcBorders>
          </w:tcPr>
          <w:p>
            <w:pPr>
              <w:rPr>
                <w:color w:val="auto"/>
                <w:sz w:val="2"/>
                <w:szCs w:val="2"/>
                <w:highlight w:val="none"/>
              </w:rPr>
            </w:pPr>
          </w:p>
        </w:tc>
        <w:tc>
          <w:tcPr>
            <w:tcW w:w="1154" w:type="dxa"/>
            <w:vMerge w:val="continue"/>
            <w:tcBorders>
              <w:top w:val="nil"/>
            </w:tcBorders>
          </w:tcPr>
          <w:p>
            <w:pPr>
              <w:rPr>
                <w:color w:val="auto"/>
                <w:sz w:val="2"/>
                <w:szCs w:val="2"/>
                <w:highlight w:val="none"/>
              </w:rPr>
            </w:pPr>
          </w:p>
        </w:tc>
        <w:tc>
          <w:tcPr>
            <w:tcW w:w="1687" w:type="dxa"/>
            <w:vAlign w:val="center"/>
          </w:tcPr>
          <w:p>
            <w:pPr>
              <w:bidi w:val="0"/>
              <w:jc w:val="both"/>
              <w:rPr>
                <w:color w:val="auto"/>
                <w:highlight w:val="none"/>
              </w:rPr>
            </w:pPr>
            <w:r>
              <w:rPr>
                <w:color w:val="auto"/>
                <w:highlight w:val="none"/>
              </w:rPr>
              <w:t>投标文件签字盖章</w:t>
            </w:r>
          </w:p>
        </w:tc>
        <w:tc>
          <w:tcPr>
            <w:tcW w:w="5787" w:type="dxa"/>
            <w:vAlign w:val="center"/>
          </w:tcPr>
          <w:p>
            <w:pPr>
              <w:bidi w:val="0"/>
              <w:jc w:val="both"/>
              <w:rPr>
                <w:color w:val="auto"/>
                <w:highlight w:val="none"/>
              </w:rPr>
            </w:pPr>
            <w:r>
              <w:rPr>
                <w:color w:val="auto"/>
                <w:highlight w:val="none"/>
              </w:rPr>
              <w:t>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54" w:type="dxa"/>
            <w:vMerge w:val="continue"/>
            <w:tcBorders>
              <w:top w:val="nil"/>
            </w:tcBorders>
          </w:tcPr>
          <w:p>
            <w:pPr>
              <w:rPr>
                <w:color w:val="auto"/>
                <w:sz w:val="2"/>
                <w:szCs w:val="2"/>
                <w:highlight w:val="none"/>
              </w:rPr>
            </w:pPr>
          </w:p>
        </w:tc>
        <w:tc>
          <w:tcPr>
            <w:tcW w:w="1154" w:type="dxa"/>
            <w:vMerge w:val="continue"/>
            <w:tcBorders>
              <w:top w:val="nil"/>
            </w:tcBorders>
          </w:tcPr>
          <w:p>
            <w:pPr>
              <w:rPr>
                <w:color w:val="auto"/>
                <w:sz w:val="2"/>
                <w:szCs w:val="2"/>
                <w:highlight w:val="none"/>
              </w:rPr>
            </w:pPr>
          </w:p>
        </w:tc>
        <w:tc>
          <w:tcPr>
            <w:tcW w:w="1687" w:type="dxa"/>
            <w:vAlign w:val="center"/>
          </w:tcPr>
          <w:p>
            <w:pPr>
              <w:bidi w:val="0"/>
              <w:jc w:val="both"/>
              <w:rPr>
                <w:color w:val="auto"/>
                <w:highlight w:val="none"/>
              </w:rPr>
            </w:pPr>
            <w:r>
              <w:rPr>
                <w:color w:val="auto"/>
                <w:highlight w:val="none"/>
              </w:rPr>
              <w:t>投标文件格式</w:t>
            </w:r>
          </w:p>
        </w:tc>
        <w:tc>
          <w:tcPr>
            <w:tcW w:w="5787" w:type="dxa"/>
            <w:vAlign w:val="center"/>
          </w:tcPr>
          <w:p>
            <w:pPr>
              <w:bidi w:val="0"/>
              <w:jc w:val="both"/>
              <w:rPr>
                <w:color w:val="auto"/>
                <w:highlight w:val="none"/>
              </w:rPr>
            </w:pPr>
            <w:r>
              <w:rPr>
                <w:color w:val="auto"/>
                <w:highlight w:val="none"/>
              </w:rPr>
              <w:t>符合“投标文件格式”的要求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Borders>
              <w:top w:val="nil"/>
            </w:tcBorders>
          </w:tcPr>
          <w:p>
            <w:pPr>
              <w:rPr>
                <w:color w:val="auto"/>
                <w:sz w:val="2"/>
                <w:szCs w:val="2"/>
                <w:highlight w:val="none"/>
              </w:rPr>
            </w:pPr>
          </w:p>
        </w:tc>
        <w:tc>
          <w:tcPr>
            <w:tcW w:w="1154" w:type="dxa"/>
            <w:vMerge w:val="continue"/>
            <w:tcBorders>
              <w:top w:val="nil"/>
            </w:tcBorders>
          </w:tcPr>
          <w:p>
            <w:pPr>
              <w:rPr>
                <w:color w:val="auto"/>
                <w:sz w:val="2"/>
                <w:szCs w:val="2"/>
                <w:highlight w:val="none"/>
              </w:rPr>
            </w:pPr>
          </w:p>
        </w:tc>
        <w:tc>
          <w:tcPr>
            <w:tcW w:w="1687" w:type="dxa"/>
            <w:vAlign w:val="center"/>
          </w:tcPr>
          <w:p>
            <w:pPr>
              <w:bidi w:val="0"/>
              <w:jc w:val="both"/>
              <w:rPr>
                <w:color w:val="auto"/>
                <w:highlight w:val="none"/>
              </w:rPr>
            </w:pPr>
            <w:r>
              <w:rPr>
                <w:color w:val="auto"/>
                <w:highlight w:val="none"/>
              </w:rPr>
              <w:t>报价唯一</w:t>
            </w:r>
          </w:p>
        </w:tc>
        <w:tc>
          <w:tcPr>
            <w:tcW w:w="5787" w:type="dxa"/>
            <w:vAlign w:val="center"/>
          </w:tcPr>
          <w:p>
            <w:pPr>
              <w:bidi w:val="0"/>
              <w:jc w:val="both"/>
              <w:rPr>
                <w:color w:val="auto"/>
                <w:highlight w:val="none"/>
              </w:rPr>
            </w:pPr>
            <w:r>
              <w:rPr>
                <w:color w:val="auto"/>
                <w:highlight w:val="none"/>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54" w:type="dxa"/>
            <w:vMerge w:val="continue"/>
            <w:tcBorders>
              <w:top w:val="nil"/>
            </w:tcBorders>
          </w:tcPr>
          <w:p>
            <w:pPr>
              <w:rPr>
                <w:color w:val="auto"/>
                <w:sz w:val="2"/>
                <w:szCs w:val="2"/>
                <w:highlight w:val="none"/>
              </w:rPr>
            </w:pPr>
          </w:p>
        </w:tc>
        <w:tc>
          <w:tcPr>
            <w:tcW w:w="1154" w:type="dxa"/>
            <w:vMerge w:val="continue"/>
            <w:tcBorders>
              <w:top w:val="nil"/>
            </w:tcBorders>
          </w:tcPr>
          <w:p>
            <w:pPr>
              <w:rPr>
                <w:color w:val="auto"/>
                <w:sz w:val="2"/>
                <w:szCs w:val="2"/>
                <w:highlight w:val="none"/>
              </w:rPr>
            </w:pPr>
          </w:p>
        </w:tc>
        <w:tc>
          <w:tcPr>
            <w:tcW w:w="1687" w:type="dxa"/>
            <w:vAlign w:val="center"/>
          </w:tcPr>
          <w:p>
            <w:pPr>
              <w:bidi w:val="0"/>
              <w:jc w:val="both"/>
              <w:rPr>
                <w:color w:val="auto"/>
                <w:highlight w:val="none"/>
              </w:rPr>
            </w:pPr>
            <w:r>
              <w:rPr>
                <w:color w:val="auto"/>
                <w:highlight w:val="none"/>
              </w:rPr>
              <w:t>投标文件份数</w:t>
            </w:r>
          </w:p>
        </w:tc>
        <w:tc>
          <w:tcPr>
            <w:tcW w:w="5787" w:type="dxa"/>
            <w:vAlign w:val="center"/>
          </w:tcPr>
          <w:p>
            <w:pPr>
              <w:bidi w:val="0"/>
              <w:jc w:val="both"/>
              <w:rPr>
                <w:color w:val="auto"/>
                <w:highlight w:val="none"/>
              </w:rPr>
            </w:pPr>
            <w:r>
              <w:rPr>
                <w:color w:val="auto"/>
                <w:highlight w:val="none"/>
              </w:rPr>
              <w:t>详见“第二章 投标人须知”中“投标人须知前附表”3.7.4 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54" w:type="dxa"/>
            <w:vMerge w:val="continue"/>
            <w:tcBorders>
              <w:top w:val="nil"/>
            </w:tcBorders>
          </w:tcPr>
          <w:p>
            <w:pPr>
              <w:rPr>
                <w:color w:val="auto"/>
                <w:sz w:val="2"/>
                <w:szCs w:val="2"/>
                <w:highlight w:val="none"/>
              </w:rPr>
            </w:pPr>
          </w:p>
        </w:tc>
        <w:tc>
          <w:tcPr>
            <w:tcW w:w="1154" w:type="dxa"/>
            <w:vMerge w:val="continue"/>
            <w:tcBorders>
              <w:top w:val="nil"/>
            </w:tcBorders>
          </w:tcPr>
          <w:p>
            <w:pPr>
              <w:rPr>
                <w:color w:val="auto"/>
                <w:sz w:val="2"/>
                <w:szCs w:val="2"/>
                <w:highlight w:val="none"/>
              </w:rPr>
            </w:pPr>
          </w:p>
        </w:tc>
        <w:tc>
          <w:tcPr>
            <w:tcW w:w="1687" w:type="dxa"/>
            <w:vAlign w:val="center"/>
          </w:tcPr>
          <w:p>
            <w:pPr>
              <w:bidi w:val="0"/>
              <w:jc w:val="both"/>
              <w:rPr>
                <w:color w:val="auto"/>
                <w:highlight w:val="none"/>
              </w:rPr>
            </w:pPr>
            <w:r>
              <w:rPr>
                <w:color w:val="auto"/>
                <w:highlight w:val="none"/>
              </w:rPr>
              <w:t>装订要求</w:t>
            </w:r>
          </w:p>
        </w:tc>
        <w:tc>
          <w:tcPr>
            <w:tcW w:w="5787" w:type="dxa"/>
            <w:vAlign w:val="center"/>
          </w:tcPr>
          <w:p>
            <w:pPr>
              <w:bidi w:val="0"/>
              <w:jc w:val="both"/>
              <w:rPr>
                <w:color w:val="auto"/>
                <w:highlight w:val="none"/>
              </w:rPr>
            </w:pPr>
            <w:r>
              <w:rPr>
                <w:color w:val="auto"/>
                <w:highlight w:val="none"/>
              </w:rPr>
              <w:t>详见“第二章 投标人须知”中“投标人须知前附表”3.7.5 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554" w:type="dxa"/>
            <w:vMerge w:val="continue"/>
            <w:tcBorders>
              <w:top w:val="nil"/>
            </w:tcBorders>
          </w:tcPr>
          <w:p>
            <w:pPr>
              <w:rPr>
                <w:color w:val="auto"/>
                <w:sz w:val="2"/>
                <w:szCs w:val="2"/>
                <w:highlight w:val="none"/>
              </w:rPr>
            </w:pPr>
          </w:p>
        </w:tc>
        <w:tc>
          <w:tcPr>
            <w:tcW w:w="1154" w:type="dxa"/>
            <w:vMerge w:val="continue"/>
            <w:tcBorders>
              <w:top w:val="nil"/>
            </w:tcBorders>
          </w:tcPr>
          <w:p>
            <w:pPr>
              <w:rPr>
                <w:color w:val="auto"/>
                <w:sz w:val="2"/>
                <w:szCs w:val="2"/>
                <w:highlight w:val="none"/>
              </w:rPr>
            </w:pPr>
          </w:p>
        </w:tc>
        <w:tc>
          <w:tcPr>
            <w:tcW w:w="1687" w:type="dxa"/>
            <w:vAlign w:val="center"/>
          </w:tcPr>
          <w:p>
            <w:pPr>
              <w:bidi w:val="0"/>
              <w:jc w:val="both"/>
              <w:rPr>
                <w:color w:val="auto"/>
                <w:highlight w:val="none"/>
              </w:rPr>
            </w:pPr>
            <w:r>
              <w:rPr>
                <w:color w:val="auto"/>
                <w:highlight w:val="none"/>
              </w:rPr>
              <w:t>建设工程招标现场提交资料登记表</w:t>
            </w:r>
          </w:p>
        </w:tc>
        <w:tc>
          <w:tcPr>
            <w:tcW w:w="5787" w:type="dxa"/>
            <w:vAlign w:val="center"/>
          </w:tcPr>
          <w:p>
            <w:pPr>
              <w:bidi w:val="0"/>
              <w:jc w:val="both"/>
              <w:rPr>
                <w:color w:val="auto"/>
                <w:highlight w:val="none"/>
              </w:rPr>
            </w:pPr>
            <w:r>
              <w:rPr>
                <w:color w:val="auto"/>
                <w:highlight w:val="none"/>
              </w:rPr>
              <w:t>详见“第二章 投标人须知”中正文5.3的要求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restart"/>
          </w:tcPr>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r>
              <w:rPr>
                <w:color w:val="auto"/>
                <w:highlight w:val="none"/>
              </w:rPr>
              <w:t>2.1.2</w:t>
            </w:r>
          </w:p>
        </w:tc>
        <w:tc>
          <w:tcPr>
            <w:tcW w:w="1154" w:type="dxa"/>
            <w:vMerge w:val="restart"/>
          </w:tcPr>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r>
              <w:rPr>
                <w:color w:val="auto"/>
                <w:highlight w:val="none"/>
              </w:rPr>
              <w:t>资格评审标准</w:t>
            </w:r>
          </w:p>
        </w:tc>
        <w:tc>
          <w:tcPr>
            <w:tcW w:w="1687" w:type="dxa"/>
            <w:vAlign w:val="center"/>
          </w:tcPr>
          <w:p>
            <w:pPr>
              <w:bidi w:val="0"/>
              <w:jc w:val="left"/>
              <w:rPr>
                <w:color w:val="auto"/>
                <w:highlight w:val="none"/>
              </w:rPr>
            </w:pPr>
            <w:r>
              <w:rPr>
                <w:color w:val="auto"/>
                <w:highlight w:val="none"/>
              </w:rPr>
              <w:t>营业执照</w:t>
            </w:r>
          </w:p>
        </w:tc>
        <w:tc>
          <w:tcPr>
            <w:tcW w:w="5787" w:type="dxa"/>
          </w:tcPr>
          <w:p>
            <w:pPr>
              <w:pStyle w:val="29"/>
              <w:spacing w:before="122"/>
              <w:ind w:left="110"/>
              <w:rPr>
                <w:color w:val="auto"/>
                <w:sz w:val="21"/>
                <w:highlight w:val="none"/>
              </w:rPr>
            </w:pPr>
            <w:r>
              <w:rPr>
                <w:color w:val="auto"/>
                <w:highlight w:val="none"/>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Borders>
              <w:top w:val="nil"/>
            </w:tcBorders>
          </w:tcPr>
          <w:p>
            <w:pPr>
              <w:bidi w:val="0"/>
              <w:jc w:val="center"/>
              <w:rPr>
                <w:color w:val="auto"/>
                <w:highlight w:val="none"/>
              </w:rPr>
            </w:pPr>
          </w:p>
        </w:tc>
        <w:tc>
          <w:tcPr>
            <w:tcW w:w="1154" w:type="dxa"/>
            <w:vMerge w:val="continue"/>
            <w:tcBorders>
              <w:top w:val="nil"/>
            </w:tcBorders>
          </w:tcPr>
          <w:p>
            <w:pPr>
              <w:bidi w:val="0"/>
              <w:jc w:val="center"/>
              <w:rPr>
                <w:color w:val="auto"/>
                <w:highlight w:val="none"/>
              </w:rPr>
            </w:pPr>
          </w:p>
        </w:tc>
        <w:tc>
          <w:tcPr>
            <w:tcW w:w="1687" w:type="dxa"/>
            <w:vAlign w:val="center"/>
          </w:tcPr>
          <w:p>
            <w:pPr>
              <w:bidi w:val="0"/>
              <w:jc w:val="both"/>
              <w:rPr>
                <w:color w:val="auto"/>
                <w:highlight w:val="none"/>
              </w:rPr>
            </w:pPr>
            <w:r>
              <w:rPr>
                <w:color w:val="auto"/>
                <w:highlight w:val="none"/>
              </w:rPr>
              <w:t>安全生产许可证</w:t>
            </w:r>
          </w:p>
        </w:tc>
        <w:tc>
          <w:tcPr>
            <w:tcW w:w="5787" w:type="dxa"/>
          </w:tcPr>
          <w:p>
            <w:pPr>
              <w:pStyle w:val="29"/>
              <w:spacing w:before="122"/>
              <w:ind w:left="110"/>
              <w:rPr>
                <w:color w:val="auto"/>
                <w:sz w:val="21"/>
                <w:highlight w:val="none"/>
              </w:rPr>
            </w:pPr>
            <w:r>
              <w:rPr>
                <w:color w:val="auto"/>
                <w:highlight w:val="none"/>
              </w:rPr>
              <w:t>具备有效的安全生产许可证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Borders>
              <w:top w:val="nil"/>
            </w:tcBorders>
          </w:tcPr>
          <w:p>
            <w:pPr>
              <w:bidi w:val="0"/>
              <w:jc w:val="center"/>
              <w:rPr>
                <w:color w:val="auto"/>
                <w:highlight w:val="none"/>
              </w:rPr>
            </w:pPr>
          </w:p>
        </w:tc>
        <w:tc>
          <w:tcPr>
            <w:tcW w:w="1154" w:type="dxa"/>
            <w:vMerge w:val="continue"/>
            <w:tcBorders>
              <w:top w:val="nil"/>
            </w:tcBorders>
          </w:tcPr>
          <w:p>
            <w:pPr>
              <w:bidi w:val="0"/>
              <w:jc w:val="center"/>
              <w:rPr>
                <w:color w:val="auto"/>
                <w:highlight w:val="none"/>
              </w:rPr>
            </w:pPr>
          </w:p>
        </w:tc>
        <w:tc>
          <w:tcPr>
            <w:tcW w:w="1687" w:type="dxa"/>
            <w:vAlign w:val="center"/>
          </w:tcPr>
          <w:p>
            <w:pPr>
              <w:bidi w:val="0"/>
              <w:jc w:val="both"/>
              <w:rPr>
                <w:color w:val="auto"/>
                <w:highlight w:val="none"/>
              </w:rPr>
            </w:pPr>
            <w:r>
              <w:rPr>
                <w:color w:val="auto"/>
                <w:highlight w:val="none"/>
              </w:rPr>
              <w:t>资质等级</w:t>
            </w:r>
          </w:p>
        </w:tc>
        <w:tc>
          <w:tcPr>
            <w:tcW w:w="5787" w:type="dxa"/>
          </w:tcPr>
          <w:p>
            <w:pPr>
              <w:pStyle w:val="29"/>
              <w:spacing w:before="122"/>
              <w:ind w:left="110"/>
              <w:rPr>
                <w:color w:val="auto"/>
                <w:sz w:val="21"/>
                <w:highlight w:val="none"/>
              </w:rPr>
            </w:pPr>
            <w:r>
              <w:rPr>
                <w:color w:val="auto"/>
                <w:highlight w:val="none"/>
              </w:rPr>
              <w:t>符合“第二章 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Borders>
              <w:top w:val="nil"/>
            </w:tcBorders>
          </w:tcPr>
          <w:p>
            <w:pPr>
              <w:bidi w:val="0"/>
              <w:jc w:val="center"/>
              <w:rPr>
                <w:color w:val="auto"/>
                <w:highlight w:val="none"/>
              </w:rPr>
            </w:pPr>
          </w:p>
        </w:tc>
        <w:tc>
          <w:tcPr>
            <w:tcW w:w="1154" w:type="dxa"/>
            <w:vMerge w:val="continue"/>
            <w:tcBorders>
              <w:top w:val="nil"/>
            </w:tcBorders>
          </w:tcPr>
          <w:p>
            <w:pPr>
              <w:bidi w:val="0"/>
              <w:jc w:val="center"/>
              <w:rPr>
                <w:color w:val="auto"/>
                <w:highlight w:val="none"/>
              </w:rPr>
            </w:pPr>
          </w:p>
        </w:tc>
        <w:tc>
          <w:tcPr>
            <w:tcW w:w="1687" w:type="dxa"/>
            <w:vAlign w:val="center"/>
          </w:tcPr>
          <w:p>
            <w:pPr>
              <w:bidi w:val="0"/>
              <w:jc w:val="both"/>
              <w:rPr>
                <w:color w:val="auto"/>
                <w:highlight w:val="none"/>
              </w:rPr>
            </w:pPr>
            <w:r>
              <w:rPr>
                <w:color w:val="auto"/>
                <w:highlight w:val="none"/>
              </w:rPr>
              <w:t>项目负责人</w:t>
            </w:r>
          </w:p>
        </w:tc>
        <w:tc>
          <w:tcPr>
            <w:tcW w:w="5787" w:type="dxa"/>
          </w:tcPr>
          <w:p>
            <w:pPr>
              <w:pStyle w:val="29"/>
              <w:spacing w:before="122"/>
              <w:ind w:left="110"/>
              <w:rPr>
                <w:color w:val="auto"/>
                <w:sz w:val="21"/>
                <w:highlight w:val="none"/>
              </w:rPr>
            </w:pPr>
            <w:r>
              <w:rPr>
                <w:color w:val="auto"/>
                <w:highlight w:val="none"/>
              </w:rPr>
              <w:t>符合“第二章 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54" w:type="dxa"/>
            <w:vMerge w:val="continue"/>
            <w:tcBorders>
              <w:top w:val="nil"/>
            </w:tcBorders>
          </w:tcPr>
          <w:p>
            <w:pPr>
              <w:bidi w:val="0"/>
              <w:jc w:val="center"/>
              <w:rPr>
                <w:color w:val="auto"/>
                <w:highlight w:val="none"/>
              </w:rPr>
            </w:pPr>
          </w:p>
        </w:tc>
        <w:tc>
          <w:tcPr>
            <w:tcW w:w="1154" w:type="dxa"/>
            <w:vMerge w:val="continue"/>
            <w:tcBorders>
              <w:top w:val="nil"/>
            </w:tcBorders>
          </w:tcPr>
          <w:p>
            <w:pPr>
              <w:bidi w:val="0"/>
              <w:jc w:val="center"/>
              <w:rPr>
                <w:color w:val="auto"/>
                <w:highlight w:val="none"/>
              </w:rPr>
            </w:pPr>
          </w:p>
        </w:tc>
        <w:tc>
          <w:tcPr>
            <w:tcW w:w="1687" w:type="dxa"/>
            <w:vAlign w:val="center"/>
          </w:tcPr>
          <w:p>
            <w:pPr>
              <w:bidi w:val="0"/>
              <w:jc w:val="both"/>
              <w:rPr>
                <w:color w:val="auto"/>
                <w:highlight w:val="none"/>
              </w:rPr>
            </w:pPr>
            <w:r>
              <w:rPr>
                <w:color w:val="auto"/>
                <w:highlight w:val="none"/>
              </w:rPr>
              <w:t>项目负责人、项目技术负责人的签字</w:t>
            </w:r>
          </w:p>
        </w:tc>
        <w:tc>
          <w:tcPr>
            <w:tcW w:w="5787" w:type="dxa"/>
          </w:tcPr>
          <w:p>
            <w:pPr>
              <w:pStyle w:val="29"/>
              <w:spacing w:before="122"/>
              <w:ind w:left="110"/>
              <w:rPr>
                <w:color w:val="auto"/>
                <w:sz w:val="21"/>
                <w:highlight w:val="none"/>
              </w:rPr>
            </w:pPr>
            <w:r>
              <w:rPr>
                <w:color w:val="auto"/>
                <w:highlight w:val="none"/>
              </w:rPr>
              <w:t>符合招标文件格式要求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554" w:type="dxa"/>
            <w:vMerge w:val="continue"/>
            <w:tcBorders>
              <w:top w:val="nil"/>
            </w:tcBorders>
          </w:tcPr>
          <w:p>
            <w:pPr>
              <w:bidi w:val="0"/>
              <w:jc w:val="center"/>
              <w:rPr>
                <w:color w:val="auto"/>
                <w:highlight w:val="none"/>
              </w:rPr>
            </w:pPr>
          </w:p>
        </w:tc>
        <w:tc>
          <w:tcPr>
            <w:tcW w:w="1154" w:type="dxa"/>
            <w:vMerge w:val="continue"/>
            <w:tcBorders>
              <w:top w:val="nil"/>
            </w:tcBorders>
          </w:tcPr>
          <w:p>
            <w:pPr>
              <w:bidi w:val="0"/>
              <w:jc w:val="center"/>
              <w:rPr>
                <w:color w:val="auto"/>
                <w:highlight w:val="none"/>
              </w:rPr>
            </w:pPr>
          </w:p>
        </w:tc>
        <w:tc>
          <w:tcPr>
            <w:tcW w:w="1687" w:type="dxa"/>
          </w:tcPr>
          <w:p>
            <w:pPr>
              <w:pStyle w:val="29"/>
              <w:spacing w:before="3"/>
              <w:rPr>
                <w:b/>
                <w:color w:val="auto"/>
                <w:sz w:val="17"/>
                <w:highlight w:val="none"/>
              </w:rPr>
            </w:pPr>
          </w:p>
          <w:p>
            <w:pPr>
              <w:bidi w:val="0"/>
              <w:rPr>
                <w:color w:val="auto"/>
                <w:highlight w:val="none"/>
              </w:rPr>
            </w:pPr>
            <w:r>
              <w:rPr>
                <w:color w:val="auto"/>
                <w:highlight w:val="none"/>
              </w:rPr>
              <w:t>其他要求</w:t>
            </w:r>
          </w:p>
        </w:tc>
        <w:tc>
          <w:tcPr>
            <w:tcW w:w="5787" w:type="dxa"/>
          </w:tcPr>
          <w:p>
            <w:pPr>
              <w:pStyle w:val="29"/>
              <w:spacing w:before="48" w:line="278" w:lineRule="auto"/>
              <w:ind w:left="110" w:right="36"/>
              <w:rPr>
                <w:color w:val="auto"/>
                <w:sz w:val="21"/>
                <w:highlight w:val="none"/>
              </w:rPr>
            </w:pPr>
            <w:r>
              <w:rPr>
                <w:color w:val="auto"/>
                <w:highlight w:val="none"/>
              </w:rPr>
              <w:t>符合“投标人须知”第3.5项“资格审查资料（适用于未 进行资格预审的）”的规定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restart"/>
          </w:tcPr>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both"/>
              <w:rPr>
                <w:color w:val="auto"/>
                <w:highlight w:val="none"/>
              </w:rPr>
            </w:pPr>
          </w:p>
          <w:p>
            <w:pPr>
              <w:bidi w:val="0"/>
              <w:jc w:val="both"/>
              <w:rPr>
                <w:color w:val="auto"/>
                <w:highlight w:val="none"/>
              </w:rPr>
            </w:pPr>
          </w:p>
          <w:p>
            <w:pPr>
              <w:bidi w:val="0"/>
              <w:jc w:val="center"/>
              <w:rPr>
                <w:color w:val="auto"/>
                <w:highlight w:val="none"/>
              </w:rPr>
            </w:pPr>
            <w:r>
              <w:rPr>
                <w:color w:val="auto"/>
                <w:highlight w:val="none"/>
              </w:rPr>
              <w:t>2.1.3</w:t>
            </w:r>
          </w:p>
        </w:tc>
        <w:tc>
          <w:tcPr>
            <w:tcW w:w="1154" w:type="dxa"/>
            <w:vMerge w:val="restart"/>
          </w:tcPr>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p>
          <w:p>
            <w:pPr>
              <w:bidi w:val="0"/>
              <w:jc w:val="center"/>
              <w:rPr>
                <w:color w:val="auto"/>
                <w:highlight w:val="none"/>
              </w:rPr>
            </w:pPr>
            <w:r>
              <w:rPr>
                <w:color w:val="auto"/>
                <w:highlight w:val="none"/>
              </w:rPr>
              <w:t>响应性评审标准</w:t>
            </w:r>
          </w:p>
        </w:tc>
        <w:tc>
          <w:tcPr>
            <w:tcW w:w="1687" w:type="dxa"/>
          </w:tcPr>
          <w:p>
            <w:pPr>
              <w:pStyle w:val="29"/>
              <w:spacing w:before="123"/>
              <w:ind w:left="110"/>
              <w:rPr>
                <w:color w:val="auto"/>
                <w:sz w:val="21"/>
                <w:highlight w:val="none"/>
              </w:rPr>
            </w:pPr>
            <w:r>
              <w:rPr>
                <w:color w:val="auto"/>
                <w:highlight w:val="none"/>
              </w:rPr>
              <w:t>投标范围</w:t>
            </w:r>
          </w:p>
        </w:tc>
        <w:tc>
          <w:tcPr>
            <w:tcW w:w="5787" w:type="dxa"/>
          </w:tcPr>
          <w:p>
            <w:pPr>
              <w:pStyle w:val="29"/>
              <w:spacing w:before="123"/>
              <w:ind w:left="110"/>
              <w:rPr>
                <w:color w:val="auto"/>
                <w:sz w:val="21"/>
                <w:highlight w:val="none"/>
              </w:rPr>
            </w:pPr>
            <w:r>
              <w:rPr>
                <w:color w:val="auto"/>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Pr>
          <w:p>
            <w:pPr>
              <w:rPr>
                <w:color w:val="auto"/>
                <w:sz w:val="2"/>
                <w:szCs w:val="2"/>
                <w:highlight w:val="none"/>
              </w:rPr>
            </w:pPr>
          </w:p>
        </w:tc>
        <w:tc>
          <w:tcPr>
            <w:tcW w:w="1154" w:type="dxa"/>
            <w:vMerge w:val="continue"/>
          </w:tcPr>
          <w:p>
            <w:pPr>
              <w:rPr>
                <w:color w:val="auto"/>
                <w:sz w:val="2"/>
                <w:szCs w:val="2"/>
                <w:highlight w:val="none"/>
              </w:rPr>
            </w:pPr>
          </w:p>
        </w:tc>
        <w:tc>
          <w:tcPr>
            <w:tcW w:w="1687" w:type="dxa"/>
          </w:tcPr>
          <w:p>
            <w:pPr>
              <w:pStyle w:val="29"/>
              <w:spacing w:before="123"/>
              <w:ind w:left="110"/>
              <w:rPr>
                <w:color w:val="auto"/>
                <w:sz w:val="21"/>
                <w:highlight w:val="none"/>
              </w:rPr>
            </w:pPr>
            <w:r>
              <w:rPr>
                <w:color w:val="auto"/>
                <w:highlight w:val="none"/>
              </w:rPr>
              <w:t>工期</w:t>
            </w:r>
          </w:p>
        </w:tc>
        <w:tc>
          <w:tcPr>
            <w:tcW w:w="5787" w:type="dxa"/>
          </w:tcPr>
          <w:p>
            <w:pPr>
              <w:pStyle w:val="29"/>
              <w:spacing w:before="123"/>
              <w:ind w:left="110"/>
              <w:rPr>
                <w:color w:val="auto"/>
                <w:sz w:val="21"/>
                <w:highlight w:val="none"/>
              </w:rPr>
            </w:pPr>
            <w:r>
              <w:rPr>
                <w:color w:val="auto"/>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Pr>
          <w:p>
            <w:pPr>
              <w:rPr>
                <w:color w:val="auto"/>
                <w:sz w:val="2"/>
                <w:szCs w:val="2"/>
                <w:highlight w:val="none"/>
              </w:rPr>
            </w:pPr>
          </w:p>
        </w:tc>
        <w:tc>
          <w:tcPr>
            <w:tcW w:w="1154" w:type="dxa"/>
            <w:vMerge w:val="continue"/>
          </w:tcPr>
          <w:p>
            <w:pPr>
              <w:rPr>
                <w:color w:val="auto"/>
                <w:sz w:val="2"/>
                <w:szCs w:val="2"/>
                <w:highlight w:val="none"/>
              </w:rPr>
            </w:pPr>
          </w:p>
        </w:tc>
        <w:tc>
          <w:tcPr>
            <w:tcW w:w="1687" w:type="dxa"/>
          </w:tcPr>
          <w:p>
            <w:pPr>
              <w:pStyle w:val="29"/>
              <w:spacing w:before="123"/>
              <w:ind w:left="110"/>
              <w:rPr>
                <w:color w:val="auto"/>
                <w:sz w:val="21"/>
                <w:highlight w:val="none"/>
              </w:rPr>
            </w:pPr>
            <w:r>
              <w:rPr>
                <w:color w:val="auto"/>
                <w:highlight w:val="none"/>
              </w:rPr>
              <w:t>工程质量</w:t>
            </w:r>
          </w:p>
        </w:tc>
        <w:tc>
          <w:tcPr>
            <w:tcW w:w="5787" w:type="dxa"/>
          </w:tcPr>
          <w:p>
            <w:pPr>
              <w:pStyle w:val="29"/>
              <w:spacing w:before="123"/>
              <w:ind w:left="110"/>
              <w:rPr>
                <w:color w:val="auto"/>
                <w:sz w:val="21"/>
                <w:highlight w:val="none"/>
              </w:rPr>
            </w:pPr>
            <w:r>
              <w:rPr>
                <w:color w:val="auto"/>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Pr>
          <w:p>
            <w:pPr>
              <w:rPr>
                <w:color w:val="auto"/>
                <w:sz w:val="2"/>
                <w:szCs w:val="2"/>
                <w:highlight w:val="none"/>
              </w:rPr>
            </w:pPr>
          </w:p>
        </w:tc>
        <w:tc>
          <w:tcPr>
            <w:tcW w:w="1154" w:type="dxa"/>
            <w:vMerge w:val="continue"/>
          </w:tcPr>
          <w:p>
            <w:pPr>
              <w:rPr>
                <w:color w:val="auto"/>
                <w:sz w:val="2"/>
                <w:szCs w:val="2"/>
                <w:highlight w:val="none"/>
              </w:rPr>
            </w:pPr>
          </w:p>
        </w:tc>
        <w:tc>
          <w:tcPr>
            <w:tcW w:w="1687" w:type="dxa"/>
          </w:tcPr>
          <w:p>
            <w:pPr>
              <w:pStyle w:val="29"/>
              <w:spacing w:before="123"/>
              <w:ind w:left="110"/>
              <w:rPr>
                <w:color w:val="auto"/>
                <w:sz w:val="21"/>
                <w:highlight w:val="none"/>
              </w:rPr>
            </w:pPr>
            <w:r>
              <w:rPr>
                <w:color w:val="auto"/>
                <w:highlight w:val="none"/>
              </w:rPr>
              <w:t>投标有效期</w:t>
            </w:r>
          </w:p>
        </w:tc>
        <w:tc>
          <w:tcPr>
            <w:tcW w:w="5787" w:type="dxa"/>
          </w:tcPr>
          <w:p>
            <w:pPr>
              <w:pStyle w:val="29"/>
              <w:spacing w:before="123"/>
              <w:ind w:left="110"/>
              <w:rPr>
                <w:color w:val="auto"/>
                <w:sz w:val="21"/>
                <w:highlight w:val="none"/>
              </w:rPr>
            </w:pPr>
            <w:r>
              <w:rPr>
                <w:color w:val="auto"/>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continue"/>
          </w:tcPr>
          <w:p>
            <w:pPr>
              <w:rPr>
                <w:color w:val="auto"/>
                <w:sz w:val="2"/>
                <w:szCs w:val="2"/>
                <w:highlight w:val="none"/>
              </w:rPr>
            </w:pPr>
          </w:p>
        </w:tc>
        <w:tc>
          <w:tcPr>
            <w:tcW w:w="1154" w:type="dxa"/>
            <w:vMerge w:val="continue"/>
          </w:tcPr>
          <w:p>
            <w:pPr>
              <w:rPr>
                <w:color w:val="auto"/>
                <w:sz w:val="2"/>
                <w:szCs w:val="2"/>
                <w:highlight w:val="none"/>
              </w:rPr>
            </w:pPr>
          </w:p>
        </w:tc>
        <w:tc>
          <w:tcPr>
            <w:tcW w:w="1687" w:type="dxa"/>
          </w:tcPr>
          <w:p>
            <w:pPr>
              <w:pStyle w:val="29"/>
              <w:spacing w:before="123"/>
              <w:ind w:left="110"/>
              <w:rPr>
                <w:color w:val="auto"/>
                <w:sz w:val="21"/>
                <w:highlight w:val="none"/>
              </w:rPr>
            </w:pPr>
            <w:r>
              <w:rPr>
                <w:color w:val="auto"/>
                <w:highlight w:val="none"/>
              </w:rPr>
              <w:t>投标保证金</w:t>
            </w:r>
          </w:p>
        </w:tc>
        <w:tc>
          <w:tcPr>
            <w:tcW w:w="5787" w:type="dxa"/>
          </w:tcPr>
          <w:p>
            <w:pPr>
              <w:pStyle w:val="29"/>
              <w:spacing w:before="123"/>
              <w:ind w:left="110"/>
              <w:rPr>
                <w:color w:val="auto"/>
                <w:sz w:val="21"/>
                <w:highlight w:val="none"/>
              </w:rPr>
            </w:pPr>
            <w:r>
              <w:rPr>
                <w:color w:val="auto"/>
                <w:highlight w:val="none"/>
              </w:rPr>
              <w:t>符合第二章“投标人须知”第3.4.1项规定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54" w:type="dxa"/>
            <w:vMerge w:val="continue"/>
          </w:tcPr>
          <w:p>
            <w:pPr>
              <w:rPr>
                <w:color w:val="auto"/>
                <w:sz w:val="2"/>
                <w:szCs w:val="2"/>
                <w:highlight w:val="none"/>
              </w:rPr>
            </w:pPr>
          </w:p>
        </w:tc>
        <w:tc>
          <w:tcPr>
            <w:tcW w:w="1154" w:type="dxa"/>
            <w:vMerge w:val="continue"/>
          </w:tcPr>
          <w:p>
            <w:pPr>
              <w:rPr>
                <w:color w:val="auto"/>
                <w:sz w:val="2"/>
                <w:szCs w:val="2"/>
                <w:highlight w:val="none"/>
              </w:rPr>
            </w:pPr>
          </w:p>
        </w:tc>
        <w:tc>
          <w:tcPr>
            <w:tcW w:w="1687" w:type="dxa"/>
            <w:vAlign w:val="center"/>
          </w:tcPr>
          <w:p>
            <w:pPr>
              <w:bidi w:val="0"/>
              <w:jc w:val="both"/>
              <w:rPr>
                <w:color w:val="auto"/>
                <w:highlight w:val="none"/>
              </w:rPr>
            </w:pPr>
            <w:r>
              <w:rPr>
                <w:color w:val="auto"/>
                <w:highlight w:val="none"/>
              </w:rPr>
              <w:t>已标价工程量清</w:t>
            </w:r>
          </w:p>
          <w:p>
            <w:pPr>
              <w:bidi w:val="0"/>
              <w:jc w:val="both"/>
              <w:rPr>
                <w:color w:val="auto"/>
                <w:highlight w:val="none"/>
              </w:rPr>
            </w:pPr>
            <w:r>
              <w:rPr>
                <w:color w:val="auto"/>
                <w:highlight w:val="none"/>
              </w:rPr>
              <w:t>单</w:t>
            </w:r>
          </w:p>
        </w:tc>
        <w:tc>
          <w:tcPr>
            <w:tcW w:w="5787" w:type="dxa"/>
          </w:tcPr>
          <w:p>
            <w:pPr>
              <w:pStyle w:val="29"/>
              <w:spacing w:before="8"/>
              <w:rPr>
                <w:b/>
                <w:color w:val="auto"/>
                <w:sz w:val="15"/>
                <w:highlight w:val="none"/>
              </w:rPr>
            </w:pPr>
          </w:p>
          <w:p>
            <w:pPr>
              <w:pStyle w:val="29"/>
              <w:ind w:left="110"/>
              <w:rPr>
                <w:color w:val="auto"/>
                <w:sz w:val="21"/>
                <w:highlight w:val="none"/>
              </w:rPr>
            </w:pPr>
            <w:r>
              <w:rPr>
                <w:color w:val="auto"/>
                <w:highlight w:val="none"/>
              </w:rPr>
              <w:t>符合第五章“工程量清单”给出的范围及数量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554" w:type="dxa"/>
            <w:vMerge w:val="continue"/>
          </w:tcPr>
          <w:p>
            <w:pPr>
              <w:pStyle w:val="29"/>
              <w:rPr>
                <w:rFonts w:ascii="Times New Roman"/>
                <w:color w:val="auto"/>
                <w:sz w:val="20"/>
                <w:highlight w:val="none"/>
              </w:rPr>
            </w:pPr>
          </w:p>
        </w:tc>
        <w:tc>
          <w:tcPr>
            <w:tcW w:w="1154" w:type="dxa"/>
            <w:vMerge w:val="continue"/>
          </w:tcPr>
          <w:p>
            <w:pPr>
              <w:pStyle w:val="29"/>
              <w:rPr>
                <w:rFonts w:ascii="Times New Roman"/>
                <w:color w:val="auto"/>
                <w:sz w:val="20"/>
                <w:highlight w:val="none"/>
              </w:rPr>
            </w:pPr>
          </w:p>
        </w:tc>
        <w:tc>
          <w:tcPr>
            <w:tcW w:w="1687" w:type="dxa"/>
          </w:tcPr>
          <w:p>
            <w:pPr>
              <w:pStyle w:val="29"/>
              <w:rPr>
                <w:b/>
                <w:color w:val="auto"/>
                <w:sz w:val="20"/>
                <w:highlight w:val="none"/>
              </w:rPr>
            </w:pPr>
          </w:p>
          <w:p>
            <w:pPr>
              <w:pStyle w:val="29"/>
              <w:spacing w:before="4"/>
              <w:rPr>
                <w:b/>
                <w:color w:val="auto"/>
                <w:sz w:val="19"/>
                <w:highlight w:val="none"/>
              </w:rPr>
            </w:pPr>
          </w:p>
          <w:p>
            <w:pPr>
              <w:pStyle w:val="29"/>
              <w:spacing w:line="321" w:lineRule="auto"/>
              <w:ind w:left="110" w:right="93"/>
              <w:rPr>
                <w:color w:val="auto"/>
                <w:sz w:val="21"/>
                <w:highlight w:val="none"/>
              </w:rPr>
            </w:pPr>
            <w:r>
              <w:rPr>
                <w:color w:val="auto"/>
                <w:highlight w:val="none"/>
              </w:rPr>
              <w:t>清单报价书响应性</w:t>
            </w:r>
            <w:r>
              <w:rPr>
                <w:rFonts w:hint="eastAsia"/>
                <w:color w:val="auto"/>
                <w:highlight w:val="none"/>
                <w:lang w:eastAsia="zh-CN"/>
              </w:rPr>
              <w:t>要</w:t>
            </w:r>
            <w:r>
              <w:rPr>
                <w:color w:val="auto"/>
                <w:highlight w:val="none"/>
              </w:rPr>
              <w:t>求</w:t>
            </w:r>
          </w:p>
        </w:tc>
        <w:tc>
          <w:tcPr>
            <w:tcW w:w="5787" w:type="dxa"/>
          </w:tcPr>
          <w:p>
            <w:pPr>
              <w:pStyle w:val="29"/>
              <w:numPr>
                <w:ilvl w:val="0"/>
                <w:numId w:val="19"/>
              </w:numPr>
              <w:tabs>
                <w:tab w:val="left" w:pos="636"/>
              </w:tabs>
              <w:spacing w:before="45" w:after="0" w:line="240" w:lineRule="auto"/>
              <w:ind w:left="635" w:right="0" w:hanging="526"/>
              <w:jc w:val="left"/>
              <w:rPr>
                <w:color w:val="auto"/>
                <w:sz w:val="21"/>
                <w:highlight w:val="none"/>
              </w:rPr>
            </w:pPr>
            <w:r>
              <w:rPr>
                <w:color w:val="auto"/>
                <w:highlight w:val="none"/>
              </w:rPr>
              <w:t>总报价没有高出最高报价值的；</w:t>
            </w:r>
          </w:p>
          <w:p>
            <w:pPr>
              <w:pStyle w:val="29"/>
              <w:numPr>
                <w:ilvl w:val="0"/>
                <w:numId w:val="19"/>
              </w:numPr>
              <w:tabs>
                <w:tab w:val="left" w:pos="636"/>
              </w:tabs>
              <w:spacing w:before="113" w:after="0" w:line="321" w:lineRule="auto"/>
              <w:ind w:left="110" w:right="36" w:firstLine="0"/>
              <w:jc w:val="left"/>
              <w:rPr>
                <w:color w:val="auto"/>
                <w:highlight w:val="none"/>
              </w:rPr>
            </w:pPr>
            <w:r>
              <w:rPr>
                <w:color w:val="auto"/>
                <w:highlight w:val="none"/>
              </w:rPr>
              <w:t>任何报价没有出现负数，第一项目报价并为单一报价。</w:t>
            </w:r>
          </w:p>
          <w:p>
            <w:pPr>
              <w:numPr>
                <w:ilvl w:val="0"/>
                <w:numId w:val="19"/>
              </w:numPr>
              <w:bidi w:val="0"/>
              <w:jc w:val="both"/>
              <w:rPr>
                <w:color w:val="auto"/>
                <w:highlight w:val="none"/>
              </w:rPr>
            </w:pPr>
            <w:r>
              <w:rPr>
                <w:color w:val="auto"/>
                <w:highlight w:val="none"/>
              </w:rPr>
              <w:t>没有不符合本招标文件中“第二章投标人须知‘二、投标须知’”第10.2款所规定的强制性费用报价的。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08" w:type="dxa"/>
            <w:gridSpan w:val="2"/>
            <w:tcBorders>
              <w:bottom w:val="single" w:color="auto" w:sz="4" w:space="0"/>
            </w:tcBorders>
            <w:vAlign w:val="center"/>
          </w:tcPr>
          <w:p>
            <w:pPr>
              <w:bidi w:val="0"/>
              <w:jc w:val="center"/>
              <w:rPr>
                <w:color w:val="auto"/>
                <w:highlight w:val="none"/>
              </w:rPr>
            </w:pPr>
            <w:r>
              <w:rPr>
                <w:color w:val="auto"/>
                <w:highlight w:val="none"/>
              </w:rPr>
              <w:t>条款号</w:t>
            </w:r>
          </w:p>
        </w:tc>
        <w:tc>
          <w:tcPr>
            <w:tcW w:w="1687" w:type="dxa"/>
            <w:tcBorders>
              <w:bottom w:val="single" w:color="auto" w:sz="4" w:space="0"/>
            </w:tcBorders>
          </w:tcPr>
          <w:p>
            <w:pPr>
              <w:pStyle w:val="29"/>
              <w:spacing w:before="120"/>
              <w:ind w:left="110"/>
              <w:rPr>
                <w:color w:val="auto"/>
                <w:sz w:val="21"/>
                <w:highlight w:val="none"/>
              </w:rPr>
            </w:pPr>
            <w:r>
              <w:rPr>
                <w:color w:val="auto"/>
                <w:highlight w:val="none"/>
              </w:rPr>
              <w:t>量化因素</w:t>
            </w:r>
          </w:p>
        </w:tc>
        <w:tc>
          <w:tcPr>
            <w:tcW w:w="5787" w:type="dxa"/>
            <w:tcBorders>
              <w:bottom w:val="single" w:color="auto" w:sz="4" w:space="0"/>
            </w:tcBorders>
          </w:tcPr>
          <w:p>
            <w:pPr>
              <w:pStyle w:val="29"/>
              <w:spacing w:before="120"/>
              <w:ind w:left="109"/>
              <w:rPr>
                <w:color w:val="auto"/>
                <w:sz w:val="21"/>
                <w:highlight w:val="none"/>
              </w:rPr>
            </w:pPr>
            <w:r>
              <w:rPr>
                <w:color w:val="auto"/>
                <w:highlight w:val="none"/>
              </w:rPr>
              <w:t>量化标准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54" w:type="dxa"/>
            <w:vMerge w:val="restart"/>
            <w:tcBorders>
              <w:top w:val="single" w:color="auto" w:sz="4" w:space="0"/>
              <w:left w:val="single" w:color="auto" w:sz="4" w:space="0"/>
              <w:bottom w:val="single" w:color="auto" w:sz="4" w:space="0"/>
              <w:right w:val="single" w:color="auto" w:sz="4" w:space="0"/>
            </w:tcBorders>
          </w:tcPr>
          <w:p>
            <w:pPr>
              <w:pStyle w:val="29"/>
              <w:spacing w:before="5"/>
              <w:rPr>
                <w:b/>
                <w:color w:val="auto"/>
                <w:sz w:val="26"/>
                <w:highlight w:val="none"/>
              </w:rPr>
            </w:pPr>
          </w:p>
          <w:p>
            <w:pPr>
              <w:bidi w:val="0"/>
              <w:jc w:val="center"/>
              <w:rPr>
                <w:color w:val="auto"/>
                <w:highlight w:val="none"/>
              </w:rPr>
            </w:pPr>
            <w:r>
              <w:rPr>
                <w:color w:val="auto"/>
                <w:highlight w:val="none"/>
              </w:rPr>
              <w:t>2.2</w:t>
            </w:r>
          </w:p>
        </w:tc>
        <w:tc>
          <w:tcPr>
            <w:tcW w:w="1154" w:type="dxa"/>
            <w:vMerge w:val="restart"/>
            <w:tcBorders>
              <w:top w:val="single" w:color="auto" w:sz="4" w:space="0"/>
              <w:left w:val="single" w:color="auto" w:sz="4" w:space="0"/>
              <w:bottom w:val="single" w:color="auto" w:sz="4" w:space="0"/>
              <w:right w:val="single" w:color="auto" w:sz="4" w:space="0"/>
            </w:tcBorders>
          </w:tcPr>
          <w:p>
            <w:pPr>
              <w:pStyle w:val="29"/>
              <w:spacing w:before="158" w:line="324" w:lineRule="auto"/>
              <w:ind w:left="204" w:right="182"/>
              <w:rPr>
                <w:color w:val="auto"/>
                <w:sz w:val="21"/>
                <w:highlight w:val="none"/>
              </w:rPr>
            </w:pPr>
            <w:r>
              <w:rPr>
                <w:color w:val="auto"/>
                <w:highlight w:val="none"/>
              </w:rPr>
              <w:t>详细评审标准</w:t>
            </w:r>
          </w:p>
        </w:tc>
        <w:tc>
          <w:tcPr>
            <w:tcW w:w="1687" w:type="dxa"/>
            <w:tcBorders>
              <w:top w:val="single" w:color="auto" w:sz="4" w:space="0"/>
              <w:left w:val="single" w:color="auto" w:sz="4" w:space="0"/>
              <w:bottom w:val="single" w:color="auto" w:sz="4" w:space="0"/>
              <w:right w:val="single" w:color="auto" w:sz="4" w:space="0"/>
            </w:tcBorders>
          </w:tcPr>
          <w:p>
            <w:pPr>
              <w:pStyle w:val="29"/>
              <w:spacing w:before="122"/>
              <w:ind w:left="110"/>
              <w:rPr>
                <w:color w:val="auto"/>
                <w:sz w:val="21"/>
                <w:highlight w:val="none"/>
              </w:rPr>
            </w:pPr>
            <w:r>
              <w:rPr>
                <w:color w:val="auto"/>
                <w:highlight w:val="none"/>
              </w:rPr>
              <w:t>详见本章“3.2详细评审”规定</w:t>
            </w:r>
          </w:p>
        </w:tc>
        <w:tc>
          <w:tcPr>
            <w:tcW w:w="5787" w:type="dxa"/>
            <w:tcBorders>
              <w:top w:val="single" w:color="auto" w:sz="4" w:space="0"/>
              <w:left w:val="single" w:color="auto" w:sz="4" w:space="0"/>
              <w:bottom w:val="single" w:color="auto" w:sz="4" w:space="0"/>
              <w:right w:val="single" w:color="auto" w:sz="4" w:space="0"/>
            </w:tcBorders>
          </w:tcPr>
          <w:p>
            <w:pPr>
              <w:pStyle w:val="29"/>
              <w:spacing w:before="122"/>
              <w:ind w:left="109"/>
              <w:rPr>
                <w:color w:val="auto"/>
                <w:sz w:val="21"/>
                <w:highlight w:val="none"/>
              </w:rPr>
            </w:pPr>
            <w:r>
              <w:rPr>
                <w:color w:val="auto"/>
                <w:highlight w:val="none"/>
              </w:rPr>
              <w:t>详见本章“3.2详细评审”规定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dxa"/>
            <w:vMerge w:val="continue"/>
            <w:tcBorders>
              <w:top w:val="single" w:color="auto" w:sz="4" w:space="0"/>
              <w:left w:val="single" w:color="auto" w:sz="4" w:space="0"/>
              <w:bottom w:val="single" w:color="auto" w:sz="4" w:space="0"/>
              <w:right w:val="single" w:color="auto" w:sz="4" w:space="0"/>
            </w:tcBorders>
          </w:tcPr>
          <w:p>
            <w:pPr>
              <w:rPr>
                <w:color w:val="auto"/>
                <w:sz w:val="2"/>
                <w:szCs w:val="2"/>
                <w:highlight w:val="none"/>
              </w:rPr>
            </w:pPr>
          </w:p>
        </w:tc>
        <w:tc>
          <w:tcPr>
            <w:tcW w:w="1154" w:type="dxa"/>
            <w:vMerge w:val="continue"/>
            <w:tcBorders>
              <w:top w:val="single" w:color="auto" w:sz="4" w:space="0"/>
              <w:left w:val="single" w:color="auto" w:sz="4" w:space="0"/>
              <w:bottom w:val="single" w:color="auto" w:sz="4" w:space="0"/>
              <w:right w:val="single" w:color="auto" w:sz="4" w:space="0"/>
            </w:tcBorders>
          </w:tcPr>
          <w:p>
            <w:pPr>
              <w:rPr>
                <w:color w:val="auto"/>
                <w:sz w:val="2"/>
                <w:szCs w:val="2"/>
                <w:highlight w:val="none"/>
              </w:rPr>
            </w:pPr>
          </w:p>
        </w:tc>
        <w:tc>
          <w:tcPr>
            <w:tcW w:w="1687" w:type="dxa"/>
            <w:tcBorders>
              <w:top w:val="single" w:color="auto" w:sz="4" w:space="0"/>
              <w:left w:val="single" w:color="auto" w:sz="4" w:space="0"/>
              <w:bottom w:val="single" w:color="auto" w:sz="4" w:space="0"/>
              <w:right w:val="single" w:color="auto" w:sz="4" w:space="0"/>
            </w:tcBorders>
          </w:tcPr>
          <w:p>
            <w:pPr>
              <w:pStyle w:val="29"/>
              <w:spacing w:before="120"/>
              <w:ind w:left="110"/>
              <w:rPr>
                <w:color w:val="auto"/>
                <w:sz w:val="21"/>
                <w:highlight w:val="none"/>
              </w:rPr>
            </w:pPr>
            <w:r>
              <w:rPr>
                <w:color w:val="auto"/>
                <w:sz w:val="21"/>
                <w:highlight w:val="none"/>
              </w:rPr>
              <w:t>………</w:t>
            </w:r>
          </w:p>
        </w:tc>
        <w:tc>
          <w:tcPr>
            <w:tcW w:w="5787" w:type="dxa"/>
            <w:tcBorders>
              <w:top w:val="single" w:color="auto" w:sz="4" w:space="0"/>
              <w:left w:val="single" w:color="auto" w:sz="4" w:space="0"/>
              <w:bottom w:val="single" w:color="auto" w:sz="4" w:space="0"/>
              <w:right w:val="single" w:color="auto" w:sz="4" w:space="0"/>
            </w:tcBorders>
          </w:tcPr>
          <w:p>
            <w:pPr>
              <w:pStyle w:val="29"/>
              <w:spacing w:before="120"/>
              <w:ind w:left="109"/>
              <w:rPr>
                <w:color w:val="auto"/>
                <w:sz w:val="21"/>
                <w:highlight w:val="none"/>
              </w:rPr>
            </w:pPr>
            <w:r>
              <w:rPr>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08" w:type="dxa"/>
            <w:gridSpan w:val="2"/>
            <w:tcBorders>
              <w:top w:val="single" w:color="auto" w:sz="4" w:space="0"/>
              <w:bottom w:val="single" w:color="auto" w:sz="4" w:space="0"/>
            </w:tcBorders>
            <w:vAlign w:val="center"/>
          </w:tcPr>
          <w:p>
            <w:pPr>
              <w:jc w:val="center"/>
              <w:rPr>
                <w:rFonts w:hint="eastAsia" w:ascii="宋体" w:hAnsi="宋体" w:cs="宋体"/>
                <w:b/>
                <w:bCs/>
                <w:sz w:val="22"/>
                <w:szCs w:val="22"/>
              </w:rPr>
            </w:pPr>
            <w:r>
              <w:rPr>
                <w:color w:val="auto"/>
                <w:highlight w:val="none"/>
              </w:rPr>
              <w:t>条款号</w:t>
            </w:r>
          </w:p>
        </w:tc>
        <w:tc>
          <w:tcPr>
            <w:tcW w:w="1687" w:type="dxa"/>
            <w:tcBorders>
              <w:top w:val="single" w:color="auto" w:sz="4" w:space="0"/>
              <w:bottom w:val="single" w:color="auto" w:sz="4" w:space="0"/>
            </w:tcBorders>
            <w:vAlign w:val="center"/>
          </w:tcPr>
          <w:p>
            <w:pPr>
              <w:pStyle w:val="29"/>
              <w:spacing w:before="120"/>
              <w:ind w:left="110"/>
              <w:jc w:val="center"/>
              <w:rPr>
                <w:rFonts w:hint="eastAsia" w:ascii="宋体" w:hAnsi="宋体" w:cs="宋体"/>
                <w:b/>
                <w:bCs/>
                <w:sz w:val="22"/>
                <w:szCs w:val="22"/>
              </w:rPr>
            </w:pPr>
            <w:r>
              <w:rPr>
                <w:color w:val="auto"/>
                <w:highlight w:val="none"/>
              </w:rPr>
              <w:t>评审因素</w:t>
            </w:r>
          </w:p>
        </w:tc>
        <w:tc>
          <w:tcPr>
            <w:tcW w:w="5787" w:type="dxa"/>
            <w:tcBorders>
              <w:top w:val="single" w:color="auto" w:sz="4" w:space="0"/>
              <w:bottom w:val="single" w:color="auto" w:sz="4" w:space="0"/>
            </w:tcBorders>
          </w:tcPr>
          <w:p>
            <w:pPr>
              <w:pStyle w:val="29"/>
              <w:spacing w:before="120"/>
              <w:ind w:firstLine="220" w:firstLineChars="100"/>
              <w:jc w:val="center"/>
              <w:rPr>
                <w:rFonts w:hint="eastAsia" w:ascii="宋体" w:hAnsi="宋体" w:cs="宋体"/>
                <w:b/>
                <w:bCs/>
                <w:kern w:val="21"/>
                <w:sz w:val="22"/>
                <w:szCs w:val="22"/>
              </w:rPr>
            </w:pPr>
            <w:r>
              <w:rPr>
                <w:color w:val="auto"/>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08" w:type="dxa"/>
            <w:gridSpan w:val="2"/>
            <w:tcBorders>
              <w:top w:val="single" w:color="auto" w:sz="4" w:space="0"/>
              <w:bottom w:val="single" w:color="auto" w:sz="4" w:space="0"/>
            </w:tcBorders>
            <w:vAlign w:val="center"/>
          </w:tcPr>
          <w:p>
            <w:pPr>
              <w:jc w:val="center"/>
              <w:rPr>
                <w:color w:val="auto"/>
                <w:sz w:val="2"/>
                <w:szCs w:val="2"/>
                <w:highlight w:val="none"/>
              </w:rPr>
            </w:pPr>
            <w:r>
              <w:rPr>
                <w:rFonts w:hint="eastAsia" w:ascii="宋体" w:hAnsi="宋体" w:cs="宋体"/>
                <w:b/>
                <w:bCs/>
                <w:sz w:val="22"/>
                <w:szCs w:val="22"/>
              </w:rPr>
              <w:t>2.2.1</w:t>
            </w:r>
          </w:p>
        </w:tc>
        <w:tc>
          <w:tcPr>
            <w:tcW w:w="1687" w:type="dxa"/>
            <w:tcBorders>
              <w:top w:val="single" w:color="auto" w:sz="4" w:space="0"/>
              <w:bottom w:val="single" w:color="auto" w:sz="4" w:space="0"/>
            </w:tcBorders>
            <w:vAlign w:val="center"/>
          </w:tcPr>
          <w:p>
            <w:pPr>
              <w:spacing w:line="300" w:lineRule="exact"/>
              <w:jc w:val="center"/>
              <w:rPr>
                <w:rFonts w:hint="eastAsia" w:ascii="宋体" w:hAnsi="宋体" w:cs="宋体"/>
                <w:b/>
                <w:bCs/>
                <w:sz w:val="22"/>
                <w:szCs w:val="22"/>
              </w:rPr>
            </w:pPr>
            <w:r>
              <w:rPr>
                <w:rFonts w:hint="eastAsia" w:ascii="宋体" w:hAnsi="宋体" w:cs="宋体"/>
                <w:b/>
                <w:bCs/>
                <w:sz w:val="22"/>
                <w:szCs w:val="22"/>
              </w:rPr>
              <w:t>分值构成</w:t>
            </w:r>
          </w:p>
          <w:p>
            <w:pPr>
              <w:pStyle w:val="29"/>
              <w:spacing w:before="120"/>
              <w:ind w:left="110"/>
              <w:jc w:val="center"/>
              <w:rPr>
                <w:color w:val="auto"/>
                <w:sz w:val="21"/>
                <w:highlight w:val="none"/>
              </w:rPr>
            </w:pPr>
            <w:r>
              <w:rPr>
                <w:rFonts w:hint="eastAsia" w:ascii="宋体" w:hAnsi="宋体" w:cs="宋体"/>
                <w:b/>
                <w:bCs/>
                <w:sz w:val="22"/>
                <w:szCs w:val="22"/>
              </w:rPr>
              <w:t>(总分100分)</w:t>
            </w:r>
          </w:p>
        </w:tc>
        <w:tc>
          <w:tcPr>
            <w:tcW w:w="5787" w:type="dxa"/>
            <w:tcBorders>
              <w:top w:val="single" w:color="auto" w:sz="4" w:space="0"/>
              <w:bottom w:val="single" w:color="auto" w:sz="4" w:space="0"/>
            </w:tcBorders>
          </w:tcPr>
          <w:p>
            <w:pPr>
              <w:spacing w:before="156" w:beforeLines="50" w:after="156" w:afterLines="50" w:line="420" w:lineRule="exact"/>
              <w:rPr>
                <w:rFonts w:hint="eastAsia" w:ascii="宋体" w:hAnsi="宋体" w:cs="宋体"/>
                <w:b/>
                <w:bCs/>
                <w:kern w:val="21"/>
                <w:sz w:val="22"/>
                <w:szCs w:val="22"/>
              </w:rPr>
            </w:pPr>
            <w:r>
              <w:rPr>
                <w:rFonts w:hint="eastAsia" w:ascii="宋体" w:hAnsi="宋体" w:cs="宋体"/>
                <w:b/>
                <w:bCs/>
                <w:kern w:val="21"/>
                <w:sz w:val="22"/>
                <w:szCs w:val="22"/>
              </w:rPr>
              <w:t>资信业绩部分：</w:t>
            </w:r>
            <w:r>
              <w:rPr>
                <w:rFonts w:hint="eastAsia" w:cs="宋体"/>
                <w:b/>
                <w:bCs/>
                <w:kern w:val="21"/>
                <w:sz w:val="22"/>
                <w:szCs w:val="22"/>
                <w:lang w:val="en-US" w:eastAsia="zh-CN"/>
              </w:rPr>
              <w:t>30</w:t>
            </w:r>
            <w:r>
              <w:rPr>
                <w:rFonts w:hint="eastAsia" w:ascii="宋体" w:hAnsi="宋体" w:cs="宋体"/>
                <w:b/>
                <w:bCs/>
                <w:kern w:val="21"/>
                <w:sz w:val="22"/>
                <w:szCs w:val="22"/>
              </w:rPr>
              <w:t>分</w:t>
            </w:r>
          </w:p>
          <w:p>
            <w:pPr>
              <w:pStyle w:val="21"/>
              <w:jc w:val="both"/>
              <w:rPr>
                <w:rFonts w:hint="default" w:ascii="宋体" w:hAnsi="宋体" w:eastAsia="宋体" w:cs="宋体"/>
                <w:b/>
                <w:bCs/>
                <w:kern w:val="21"/>
                <w:sz w:val="22"/>
                <w:szCs w:val="22"/>
                <w:lang w:val="en-US" w:eastAsia="zh-CN" w:bidi="zh-CN"/>
              </w:rPr>
            </w:pPr>
            <w:r>
              <w:rPr>
                <w:rFonts w:hint="eastAsia" w:ascii="宋体" w:hAnsi="宋体" w:eastAsia="宋体" w:cs="宋体"/>
                <w:b/>
                <w:bCs/>
                <w:kern w:val="21"/>
                <w:sz w:val="22"/>
                <w:szCs w:val="22"/>
                <w:lang w:val="zh-CN" w:eastAsia="zh-CN" w:bidi="zh-CN"/>
              </w:rPr>
              <w:t>实施方案</w:t>
            </w:r>
            <w:r>
              <w:rPr>
                <w:rFonts w:hint="eastAsia" w:ascii="宋体" w:hAnsi="宋体" w:eastAsia="宋体" w:cs="宋体"/>
                <w:b/>
                <w:bCs/>
                <w:kern w:val="21"/>
                <w:sz w:val="22"/>
                <w:szCs w:val="22"/>
                <w:lang w:val="en-US" w:eastAsia="zh-CN" w:bidi="zh-CN"/>
              </w:rPr>
              <w:t>部分：40分</w:t>
            </w:r>
          </w:p>
          <w:p>
            <w:pPr>
              <w:pStyle w:val="29"/>
              <w:spacing w:before="120"/>
              <w:rPr>
                <w:color w:val="auto"/>
                <w:sz w:val="21"/>
                <w:highlight w:val="none"/>
              </w:rPr>
            </w:pPr>
            <w:r>
              <w:rPr>
                <w:rFonts w:hint="eastAsia" w:ascii="宋体" w:hAnsi="宋体" w:cs="宋体"/>
                <w:b/>
                <w:bCs/>
                <w:kern w:val="21"/>
                <w:sz w:val="22"/>
                <w:szCs w:val="22"/>
              </w:rPr>
              <w:t>投标报价：</w:t>
            </w:r>
            <w:r>
              <w:rPr>
                <w:rFonts w:hint="eastAsia" w:cs="宋体"/>
                <w:b/>
                <w:bCs/>
                <w:kern w:val="21"/>
                <w:sz w:val="22"/>
                <w:szCs w:val="22"/>
                <w:lang w:val="en-US" w:eastAsia="zh-CN"/>
              </w:rPr>
              <w:t>30</w:t>
            </w:r>
            <w:r>
              <w:rPr>
                <w:rFonts w:hint="eastAsia" w:ascii="宋体" w:hAnsi="宋体" w:cs="宋体"/>
                <w:b/>
                <w:bCs/>
                <w:kern w:val="21"/>
                <w:sz w:val="22"/>
                <w:szCs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08" w:type="dxa"/>
            <w:gridSpan w:val="2"/>
            <w:tcBorders>
              <w:top w:val="single" w:color="auto" w:sz="4" w:space="0"/>
              <w:bottom w:val="single" w:color="auto" w:sz="4" w:space="0"/>
            </w:tcBorders>
            <w:vAlign w:val="center"/>
          </w:tcPr>
          <w:p>
            <w:pPr>
              <w:jc w:val="center"/>
              <w:rPr>
                <w:rFonts w:hint="default" w:ascii="宋体" w:hAnsi="宋体" w:eastAsia="宋体" w:cs="宋体"/>
                <w:b/>
                <w:bCs/>
                <w:sz w:val="22"/>
                <w:szCs w:val="22"/>
                <w:lang w:val="en-US" w:eastAsia="zh-CN"/>
              </w:rPr>
            </w:pPr>
            <w:r>
              <w:rPr>
                <w:rFonts w:hint="eastAsia" w:cs="宋体"/>
                <w:b/>
                <w:bCs/>
                <w:sz w:val="22"/>
                <w:szCs w:val="22"/>
                <w:lang w:val="en-US" w:eastAsia="zh-CN"/>
              </w:rPr>
              <w:t>2.2.2</w:t>
            </w:r>
          </w:p>
        </w:tc>
        <w:tc>
          <w:tcPr>
            <w:tcW w:w="1687" w:type="dxa"/>
            <w:tcBorders>
              <w:top w:val="single" w:color="auto" w:sz="4" w:space="0"/>
              <w:bottom w:val="single" w:color="auto" w:sz="4" w:space="0"/>
            </w:tcBorders>
            <w:vAlign w:val="center"/>
          </w:tcPr>
          <w:p>
            <w:pPr>
              <w:spacing w:line="300" w:lineRule="exact"/>
              <w:jc w:val="center"/>
              <w:rPr>
                <w:rFonts w:hint="eastAsia" w:ascii="宋体" w:hAnsi="宋体" w:eastAsia="宋体" w:cs="宋体"/>
                <w:b/>
                <w:bCs/>
                <w:sz w:val="22"/>
                <w:szCs w:val="22"/>
                <w:lang w:val="en-US" w:eastAsia="zh-CN"/>
              </w:rPr>
            </w:pPr>
            <w:r>
              <w:rPr>
                <w:rFonts w:hint="eastAsia" w:ascii="宋体" w:hAnsi="宋体" w:cs="宋体"/>
                <w:b/>
                <w:bCs/>
                <w:sz w:val="22"/>
                <w:szCs w:val="22"/>
              </w:rPr>
              <w:t>评标基准价</w:t>
            </w:r>
            <w:r>
              <w:rPr>
                <w:rFonts w:hint="eastAsia" w:ascii="宋体" w:hAnsi="宋体" w:cs="宋体"/>
                <w:b/>
                <w:bCs/>
                <w:szCs w:val="21"/>
              </w:rPr>
              <w:t>A</w:t>
            </w:r>
          </w:p>
          <w:p>
            <w:pPr>
              <w:pStyle w:val="29"/>
              <w:spacing w:before="120"/>
              <w:ind w:left="110"/>
              <w:jc w:val="center"/>
              <w:rPr>
                <w:rFonts w:hint="eastAsia" w:ascii="宋体" w:hAnsi="宋体" w:cs="宋体"/>
                <w:b/>
                <w:bCs/>
                <w:sz w:val="22"/>
                <w:szCs w:val="22"/>
              </w:rPr>
            </w:pPr>
            <w:r>
              <w:rPr>
                <w:rFonts w:hint="eastAsia" w:ascii="宋体" w:hAnsi="宋体" w:cs="宋体"/>
                <w:b/>
                <w:bCs/>
                <w:sz w:val="22"/>
                <w:szCs w:val="22"/>
              </w:rPr>
              <w:t>计算方法</w:t>
            </w:r>
          </w:p>
        </w:tc>
        <w:tc>
          <w:tcPr>
            <w:tcW w:w="5787" w:type="dxa"/>
            <w:tcBorders>
              <w:top w:val="single" w:color="auto" w:sz="4" w:space="0"/>
              <w:bottom w:val="single" w:color="auto" w:sz="4" w:space="0"/>
            </w:tcBorders>
          </w:tcPr>
          <w:p>
            <w:pPr>
              <w:autoSpaceDE w:val="0"/>
              <w:autoSpaceDN w:val="0"/>
              <w:adjustRightInd w:val="0"/>
              <w:spacing w:line="360" w:lineRule="auto"/>
              <w:jc w:val="left"/>
              <w:rPr>
                <w:rFonts w:hint="eastAsia" w:ascii="宋体" w:hAnsi="宋体" w:eastAsia="宋体"/>
                <w:kern w:val="0"/>
                <w:szCs w:val="21"/>
                <w:highlight w:val="none"/>
                <w:lang w:eastAsia="zh-CN"/>
              </w:rPr>
            </w:pPr>
            <w:r>
              <w:rPr>
                <w:rFonts w:hint="eastAsia" w:ascii="宋体" w:hAnsi="宋体" w:cs="宋体"/>
                <w:kern w:val="21"/>
                <w:sz w:val="22"/>
                <w:szCs w:val="22"/>
              </w:rPr>
              <w:t xml:space="preserve"> </w:t>
            </w:r>
            <w:r>
              <w:rPr>
                <w:rFonts w:hint="eastAsia" w:cs="宋体"/>
                <w:kern w:val="21"/>
                <w:sz w:val="22"/>
                <w:szCs w:val="22"/>
                <w:lang w:val="en-US" w:eastAsia="zh-CN"/>
              </w:rPr>
              <w:t xml:space="preserve"> </w:t>
            </w:r>
            <w:r>
              <w:rPr>
                <w:rFonts w:hint="eastAsia" w:ascii="宋体" w:hAnsi="宋体"/>
                <w:kern w:val="0"/>
                <w:szCs w:val="21"/>
                <w:highlight w:val="none"/>
              </w:rPr>
              <w:t>1、投标人的投标总报价</w:t>
            </w:r>
            <w:r>
              <w:rPr>
                <w:rFonts w:hint="eastAsia"/>
                <w:b/>
                <w:bCs/>
                <w:kern w:val="0"/>
                <w:szCs w:val="21"/>
                <w:highlight w:val="none"/>
                <w:lang w:val="en-US" w:eastAsia="zh-CN"/>
              </w:rPr>
              <w:t xml:space="preserve">B </w:t>
            </w:r>
            <w:r>
              <w:rPr>
                <w:rFonts w:hint="eastAsia" w:ascii="宋体" w:hAnsi="宋体"/>
                <w:kern w:val="0"/>
                <w:szCs w:val="21"/>
                <w:highlight w:val="none"/>
              </w:rPr>
              <w:t>=工程费投标报价。</w:t>
            </w:r>
            <w:r>
              <w:rPr>
                <w:rFonts w:hint="eastAsia"/>
              </w:rPr>
              <w:t>有效投标报价范围为:不大于招标控制价</w:t>
            </w:r>
            <w:r>
              <w:rPr>
                <w:rFonts w:hint="eastAsia"/>
                <w:lang w:eastAsia="zh-CN"/>
              </w:rPr>
              <w:t>（</w:t>
            </w:r>
            <w:r>
              <w:rPr>
                <w:rFonts w:hint="eastAsia"/>
              </w:rPr>
              <w:t>最高投标限价</w:t>
            </w:r>
            <w:r>
              <w:rPr>
                <w:rFonts w:hint="eastAsia"/>
                <w:lang w:eastAsia="zh-CN"/>
              </w:rPr>
              <w:t>）</w:t>
            </w:r>
            <w:r>
              <w:rPr>
                <w:rFonts w:hint="eastAsia"/>
              </w:rPr>
              <w:t>为有效投标报价</w:t>
            </w:r>
            <w:r>
              <w:rPr>
                <w:rFonts w:hint="eastAsia"/>
                <w:lang w:eastAsia="zh-CN"/>
              </w:rPr>
              <w:t>（</w:t>
            </w:r>
            <w:r>
              <w:rPr>
                <w:rFonts w:hint="eastAsia"/>
              </w:rPr>
              <w:t>以元为单位，精确到小数点后2位，小数点后3位四舍五入</w:t>
            </w:r>
            <w:r>
              <w:rPr>
                <w:rFonts w:hint="eastAsia"/>
                <w:lang w:eastAsia="zh-CN"/>
              </w:rPr>
              <w:t>）。</w:t>
            </w:r>
          </w:p>
          <w:p>
            <w:pPr>
              <w:spacing w:line="360" w:lineRule="auto"/>
              <w:rPr>
                <w:rFonts w:hint="eastAsia"/>
              </w:rPr>
            </w:pPr>
            <w:r>
              <w:rPr>
                <w:rFonts w:hint="eastAsia" w:ascii="宋体" w:hAnsi="宋体"/>
                <w:kern w:val="0"/>
                <w:szCs w:val="21"/>
                <w:highlight w:val="none"/>
              </w:rPr>
              <w:t>2、</w:t>
            </w:r>
            <w:r>
              <w:rPr>
                <w:rFonts w:hint="eastAsia" w:ascii="宋体" w:hAnsi="宋体" w:eastAsia="宋体" w:cs="宋体"/>
                <w:kern w:val="0"/>
                <w:sz w:val="22"/>
                <w:szCs w:val="21"/>
                <w:highlight w:val="none"/>
                <w:lang w:val="en-US" w:eastAsia="zh-CN" w:bidi="zh-CN"/>
              </w:rPr>
              <w:t>确定参与评标基准价计算的投标报价平均值计算:</w:t>
            </w:r>
          </w:p>
          <w:p>
            <w:pPr>
              <w:numPr>
                <w:ilvl w:val="0"/>
                <w:numId w:val="0"/>
              </w:numPr>
              <w:autoSpaceDE w:val="0"/>
              <w:autoSpaceDN w:val="0"/>
              <w:adjustRightInd w:val="0"/>
              <w:spacing w:line="360" w:lineRule="auto"/>
              <w:ind w:right="0" w:rightChars="0" w:firstLine="440" w:firstLineChars="200"/>
              <w:jc w:val="left"/>
              <w:rPr>
                <w:rFonts w:hint="eastAsia" w:ascii="宋体" w:hAnsi="宋体"/>
                <w:kern w:val="0"/>
                <w:szCs w:val="21"/>
                <w:highlight w:val="none"/>
              </w:rPr>
            </w:pPr>
            <w:r>
              <w:rPr>
                <w:rFonts w:hint="eastAsia" w:ascii="宋体" w:hAnsi="宋体"/>
                <w:kern w:val="0"/>
                <w:szCs w:val="21"/>
                <w:highlight w:val="none"/>
              </w:rPr>
              <w:t>当有效投标人少于或等于5家时，评标基准价</w:t>
            </w:r>
            <w:r>
              <w:rPr>
                <w:rFonts w:hint="eastAsia" w:ascii="宋体" w:hAnsi="宋体" w:cs="宋体"/>
                <w:b/>
                <w:bCs/>
                <w:szCs w:val="21"/>
              </w:rPr>
              <w:t>A</w:t>
            </w:r>
            <w:r>
              <w:rPr>
                <w:rFonts w:hint="eastAsia" w:ascii="宋体" w:hAnsi="宋体"/>
                <w:kern w:val="0"/>
                <w:szCs w:val="21"/>
                <w:highlight w:val="none"/>
              </w:rPr>
              <w:t>为所有有效投标总报价的算术平均值；当有效投标人大于5家时，评标基准价</w:t>
            </w:r>
            <w:r>
              <w:rPr>
                <w:rFonts w:hint="eastAsia" w:ascii="宋体" w:hAnsi="宋体" w:cs="宋体"/>
                <w:b/>
                <w:bCs/>
                <w:szCs w:val="21"/>
              </w:rPr>
              <w:t>A</w:t>
            </w:r>
            <w:r>
              <w:rPr>
                <w:rFonts w:hint="eastAsia" w:ascii="宋体" w:hAnsi="宋体"/>
                <w:kern w:val="0"/>
                <w:szCs w:val="21"/>
                <w:highlight w:val="none"/>
              </w:rPr>
              <w:t>为去掉一家最高投标总报价和一家最低投标总报价后的算术平均值。</w:t>
            </w:r>
          </w:p>
          <w:p>
            <w:pPr>
              <w:autoSpaceDE w:val="0"/>
              <w:autoSpaceDN w:val="0"/>
              <w:adjustRightInd w:val="0"/>
              <w:spacing w:line="360" w:lineRule="auto"/>
              <w:ind w:firstLine="220" w:firstLineChars="100"/>
              <w:jc w:val="left"/>
              <w:rPr>
                <w:rFonts w:hint="eastAsia" w:ascii="宋体" w:hAnsi="宋体" w:cs="宋体"/>
                <w:b/>
                <w:bCs/>
                <w:kern w:val="21"/>
                <w:sz w:val="22"/>
                <w:szCs w:val="22"/>
              </w:rPr>
            </w:pPr>
            <w:r>
              <w:rPr>
                <w:rFonts w:hint="eastAsia" w:ascii="宋体" w:hAnsi="宋体"/>
                <w:kern w:val="0"/>
                <w:szCs w:val="21"/>
                <w:highlight w:val="none"/>
              </w:rPr>
              <w:t>3、若投标人的投标总报价</w:t>
            </w:r>
            <w:r>
              <w:rPr>
                <w:rFonts w:hint="eastAsia"/>
                <w:kern w:val="0"/>
                <w:szCs w:val="21"/>
                <w:highlight w:val="none"/>
                <w:lang w:val="en-US" w:eastAsia="zh-CN"/>
              </w:rPr>
              <w:t>少</w:t>
            </w:r>
            <w:r>
              <w:rPr>
                <w:rFonts w:hint="eastAsia" w:ascii="宋体" w:hAnsi="宋体"/>
                <w:kern w:val="0"/>
                <w:szCs w:val="21"/>
                <w:highlight w:val="none"/>
              </w:rPr>
              <w:t>于评标基准价</w:t>
            </w:r>
            <w:r>
              <w:rPr>
                <w:rFonts w:hint="eastAsia" w:ascii="宋体" w:hAnsi="宋体" w:cs="宋体"/>
                <w:b/>
                <w:bCs/>
                <w:szCs w:val="21"/>
              </w:rPr>
              <w:t>A</w:t>
            </w:r>
            <w:r>
              <w:rPr>
                <w:rFonts w:hint="eastAsia" w:ascii="宋体" w:hAnsi="宋体"/>
                <w:kern w:val="0"/>
                <w:szCs w:val="21"/>
                <w:highlight w:val="none"/>
              </w:rPr>
              <w:t>（即投标人的投标总报价的算术平均值）的</w:t>
            </w:r>
            <w:r>
              <w:rPr>
                <w:rFonts w:hint="eastAsia"/>
                <w:kern w:val="0"/>
                <w:szCs w:val="21"/>
                <w:highlight w:val="none"/>
                <w:lang w:val="en-US" w:eastAsia="zh-CN"/>
              </w:rPr>
              <w:t>90</w:t>
            </w:r>
            <w:r>
              <w:rPr>
                <w:rFonts w:hint="eastAsia" w:ascii="宋体" w:hAnsi="宋体"/>
                <w:kern w:val="0"/>
                <w:szCs w:val="21"/>
                <w:highlight w:val="none"/>
                <w:lang w:val="en-US" w:eastAsia="zh-CN"/>
              </w:rPr>
              <w:t>%</w:t>
            </w:r>
            <w:r>
              <w:rPr>
                <w:rFonts w:hint="eastAsia" w:ascii="宋体" w:hAnsi="宋体"/>
                <w:kern w:val="0"/>
                <w:szCs w:val="21"/>
                <w:highlight w:val="none"/>
              </w:rPr>
              <w:t>时，应对其投标报价启动澄清程序【投标人应对其工程费投标报价分别澄清说明】，要求投标人作出书面说明并提供相关证明材料。投标人不能合理说明或者不能提供相关证明资料的，评标委员会认定该投标人以低于成本报价竞标，否决其投标。当有投标人的投标因此种情况被否决；该投标人投标总报价不参与评标基准价的计算，取剩余有效投标人重新计算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08" w:type="dxa"/>
            <w:gridSpan w:val="2"/>
            <w:tcBorders>
              <w:top w:val="single" w:color="auto" w:sz="4" w:space="0"/>
            </w:tcBorders>
            <w:vAlign w:val="center"/>
          </w:tcPr>
          <w:p>
            <w:pPr>
              <w:spacing w:line="360" w:lineRule="exact"/>
              <w:ind w:left="0" w:leftChars="0" w:right="0" w:rightChars="0"/>
              <w:jc w:val="center"/>
              <w:rPr>
                <w:rFonts w:hint="eastAsia" w:cs="宋体"/>
                <w:b/>
                <w:bCs/>
                <w:sz w:val="22"/>
                <w:szCs w:val="22"/>
                <w:lang w:val="en-US" w:eastAsia="zh-CN"/>
              </w:rPr>
            </w:pPr>
            <w:r>
              <w:rPr>
                <w:rFonts w:hint="eastAsia" w:ascii="宋体" w:hAnsi="宋体" w:cs="宋体"/>
                <w:b/>
                <w:bCs/>
                <w:sz w:val="22"/>
                <w:szCs w:val="22"/>
              </w:rPr>
              <w:t>2.2.3</w:t>
            </w:r>
          </w:p>
        </w:tc>
        <w:tc>
          <w:tcPr>
            <w:tcW w:w="1687" w:type="dxa"/>
            <w:tcBorders>
              <w:top w:val="single" w:color="auto" w:sz="4" w:space="0"/>
            </w:tcBorders>
            <w:vAlign w:val="center"/>
          </w:tcPr>
          <w:p>
            <w:pPr>
              <w:spacing w:line="300" w:lineRule="exact"/>
              <w:jc w:val="center"/>
              <w:rPr>
                <w:rFonts w:hint="eastAsia" w:ascii="宋体" w:hAnsi="宋体" w:cs="宋体"/>
                <w:b/>
                <w:bCs/>
                <w:sz w:val="22"/>
                <w:szCs w:val="22"/>
              </w:rPr>
            </w:pPr>
            <w:r>
              <w:rPr>
                <w:rFonts w:hint="eastAsia" w:ascii="宋体" w:hAnsi="宋体" w:cs="宋体"/>
                <w:b/>
                <w:bCs/>
                <w:sz w:val="22"/>
                <w:szCs w:val="22"/>
              </w:rPr>
              <w:t>投标报价的</w:t>
            </w:r>
          </w:p>
          <w:p>
            <w:pPr>
              <w:spacing w:line="300" w:lineRule="exact"/>
              <w:ind w:left="0" w:leftChars="0" w:right="0" w:rightChars="0"/>
              <w:jc w:val="center"/>
              <w:rPr>
                <w:rFonts w:hint="eastAsia" w:ascii="宋体" w:hAnsi="宋体" w:cs="宋体"/>
                <w:b/>
                <w:bCs/>
                <w:sz w:val="22"/>
                <w:szCs w:val="22"/>
              </w:rPr>
            </w:pPr>
            <w:r>
              <w:rPr>
                <w:rFonts w:hint="eastAsia" w:ascii="宋体" w:hAnsi="宋体" w:cs="宋体"/>
                <w:b/>
                <w:bCs/>
                <w:spacing w:val="-6"/>
                <w:sz w:val="22"/>
                <w:szCs w:val="22"/>
              </w:rPr>
              <w:t>偏差率计算公式</w:t>
            </w:r>
          </w:p>
        </w:tc>
        <w:tc>
          <w:tcPr>
            <w:tcW w:w="5787" w:type="dxa"/>
            <w:tcBorders>
              <w:top w:val="single" w:color="auto" w:sz="4" w:space="0"/>
            </w:tcBorders>
            <w:vAlign w:val="center"/>
          </w:tcPr>
          <w:p>
            <w:pPr>
              <w:spacing w:line="360" w:lineRule="exact"/>
              <w:ind w:left="0" w:leftChars="0" w:right="0" w:rightChars="0"/>
              <w:jc w:val="center"/>
              <w:rPr>
                <w:rFonts w:hint="eastAsia" w:ascii="宋体" w:hAnsi="宋体" w:eastAsia="宋体" w:cs="宋体"/>
                <w:b/>
                <w:bCs/>
                <w:spacing w:val="-4"/>
                <w:kern w:val="0"/>
                <w:sz w:val="22"/>
                <w:szCs w:val="22"/>
                <w:lang w:val="en-US" w:eastAsia="zh-CN"/>
              </w:rPr>
            </w:pPr>
            <w:r>
              <w:rPr>
                <w:rFonts w:hint="eastAsia" w:ascii="宋体" w:hAnsi="宋体"/>
                <w:kern w:val="0"/>
                <w:szCs w:val="21"/>
                <w:highlight w:val="none"/>
              </w:rPr>
              <w:t>偏差率 =100</w:t>
            </w:r>
            <w:r>
              <w:rPr>
                <w:rFonts w:ascii="宋体" w:hAnsi="宋体"/>
                <w:kern w:val="0"/>
                <w:szCs w:val="21"/>
                <w:highlight w:val="none"/>
              </w:rPr>
              <w:t>×</w:t>
            </w:r>
            <w:r>
              <w:rPr>
                <w:rFonts w:hint="eastAsia"/>
                <w:b/>
                <w:bCs/>
                <w:kern w:val="0"/>
                <w:szCs w:val="21"/>
                <w:highlight w:val="none"/>
                <w:lang w:val="en-US" w:eastAsia="zh-CN"/>
              </w:rPr>
              <w:t>|</w:t>
            </w:r>
            <w:r>
              <w:rPr>
                <w:rFonts w:ascii="宋体" w:hAnsi="宋体"/>
                <w:kern w:val="0"/>
                <w:szCs w:val="21"/>
                <w:highlight w:val="none"/>
              </w:rPr>
              <w:t>投标人的投标总</w:t>
            </w:r>
            <w:r>
              <w:rPr>
                <w:rFonts w:hint="eastAsia" w:ascii="宋体" w:hAnsi="宋体"/>
                <w:kern w:val="0"/>
                <w:szCs w:val="21"/>
                <w:highlight w:val="none"/>
              </w:rPr>
              <w:t>报</w:t>
            </w:r>
            <w:r>
              <w:rPr>
                <w:rFonts w:ascii="宋体" w:hAnsi="宋体"/>
                <w:kern w:val="0"/>
                <w:szCs w:val="21"/>
                <w:highlight w:val="none"/>
              </w:rPr>
              <w:t>价</w:t>
            </w:r>
            <w:r>
              <w:rPr>
                <w:rFonts w:hint="eastAsia"/>
                <w:b/>
                <w:bCs/>
                <w:kern w:val="0"/>
                <w:szCs w:val="21"/>
                <w:highlight w:val="none"/>
                <w:lang w:val="en-US" w:eastAsia="zh-CN"/>
              </w:rPr>
              <w:t>B</w:t>
            </w:r>
            <w:r>
              <w:rPr>
                <w:rFonts w:hint="eastAsia" w:ascii="宋体" w:hAnsi="宋体"/>
                <w:kern w:val="0"/>
                <w:szCs w:val="21"/>
                <w:highlight w:val="none"/>
              </w:rPr>
              <w:t>－</w:t>
            </w:r>
            <w:r>
              <w:rPr>
                <w:rFonts w:ascii="宋体" w:hAnsi="宋体"/>
                <w:kern w:val="0"/>
                <w:szCs w:val="21"/>
                <w:highlight w:val="none"/>
              </w:rPr>
              <w:t>评标基准价</w:t>
            </w:r>
            <w:r>
              <w:rPr>
                <w:rFonts w:hint="eastAsia" w:ascii="宋体" w:hAnsi="宋体" w:cs="宋体"/>
                <w:b/>
                <w:bCs/>
                <w:szCs w:val="21"/>
              </w:rPr>
              <w:t>A</w:t>
            </w:r>
            <w:r>
              <w:rPr>
                <w:rFonts w:hint="eastAsia" w:cs="宋体"/>
                <w:b/>
                <w:bCs/>
                <w:szCs w:val="21"/>
                <w:lang w:val="en-US" w:eastAsia="zh-CN"/>
              </w:rPr>
              <w:t>|</w:t>
            </w:r>
            <w:r>
              <w:rPr>
                <w:rFonts w:hint="default" w:ascii="Arial" w:hAnsi="Arial" w:cs="Arial"/>
                <w:kern w:val="0"/>
                <w:szCs w:val="21"/>
                <w:highlight w:val="none"/>
              </w:rPr>
              <w:t>÷</w:t>
            </w:r>
            <w:r>
              <w:rPr>
                <w:rFonts w:ascii="宋体" w:hAnsi="宋体"/>
                <w:kern w:val="0"/>
                <w:szCs w:val="21"/>
                <w:highlight w:val="none"/>
              </w:rPr>
              <w:t>评标基准价</w:t>
            </w:r>
            <w:r>
              <w:rPr>
                <w:rFonts w:hint="eastAsia" w:ascii="宋体" w:hAnsi="宋体" w:cs="宋体"/>
                <w:b/>
                <w:bCs/>
                <w:szCs w:val="21"/>
              </w:rPr>
              <w:t>A</w:t>
            </w:r>
          </w:p>
        </w:tc>
      </w:tr>
    </w:tbl>
    <w:p>
      <w:pPr>
        <w:spacing w:after="0"/>
        <w:rPr>
          <w:color w:val="auto"/>
          <w:sz w:val="21"/>
          <w:highlight w:val="none"/>
        </w:rPr>
        <w:sectPr>
          <w:pgSz w:w="11910" w:h="16840"/>
          <w:pgMar w:top="1400" w:right="600" w:bottom="1160" w:left="860" w:header="0" w:footer="979" w:gutter="0"/>
          <w:pgBorders>
            <w:top w:val="none" w:sz="0" w:space="0"/>
            <w:left w:val="none" w:sz="0" w:space="0"/>
            <w:bottom w:val="none" w:sz="0" w:space="0"/>
            <w:right w:val="none" w:sz="0" w:space="0"/>
          </w:pgBorders>
          <w:pgNumType w:fmt="decimal"/>
          <w:cols w:space="720" w:num="1"/>
        </w:sectPr>
      </w:pPr>
    </w:p>
    <w:p>
      <w:pPr>
        <w:numPr>
          <w:ilvl w:val="0"/>
          <w:numId w:val="20"/>
        </w:numPr>
        <w:bidi w:val="0"/>
        <w:rPr>
          <w:b/>
          <w:bCs/>
          <w:color w:val="auto"/>
          <w:sz w:val="21"/>
          <w:szCs w:val="21"/>
          <w:highlight w:val="none"/>
        </w:rPr>
      </w:pPr>
      <w:r>
        <w:rPr>
          <w:b/>
          <w:bCs/>
          <w:color w:val="auto"/>
          <w:sz w:val="21"/>
          <w:szCs w:val="21"/>
          <w:highlight w:val="none"/>
        </w:rPr>
        <w:t>评标方法</w:t>
      </w:r>
    </w:p>
    <w:p>
      <w:pPr>
        <w:pStyle w:val="14"/>
        <w:spacing w:before="7"/>
        <w:rPr>
          <w:b/>
          <w:color w:val="auto"/>
          <w:sz w:val="15"/>
          <w:highlight w:val="none"/>
        </w:rPr>
      </w:pPr>
    </w:p>
    <w:p>
      <w:pPr>
        <w:pStyle w:val="14"/>
        <w:spacing w:line="417" w:lineRule="auto"/>
        <w:ind w:left="671" w:right="955" w:firstLine="420"/>
        <w:rPr>
          <w:color w:val="auto"/>
          <w:highlight w:val="none"/>
        </w:rPr>
      </w:pPr>
      <w:r>
        <w:rPr>
          <w:color w:val="auto"/>
          <w:highlight w:val="none"/>
        </w:rPr>
        <w:t>本次评标采用住房城乡建设部关于修改《房屋建筑和市政基础设施工程施工招标投标管理办法》的决定”</w:t>
      </w:r>
      <w:r>
        <w:rPr>
          <w:rFonts w:hint="eastAsia"/>
          <w:color w:val="auto"/>
          <w:highlight w:val="none"/>
          <w:lang w:eastAsia="zh-CN"/>
        </w:rPr>
        <w:t>、“广东省实施《中华人民共和国招标投标法》办法”（广东省第十三届人民代表大会常务委员公告第19号）</w:t>
      </w:r>
      <w:r>
        <w:rPr>
          <w:color w:val="auto"/>
          <w:highlight w:val="none"/>
        </w:rPr>
        <w:t>的“综合评估法”。</w:t>
      </w:r>
    </w:p>
    <w:p>
      <w:pPr>
        <w:numPr>
          <w:ilvl w:val="0"/>
          <w:numId w:val="20"/>
        </w:numPr>
        <w:bidi w:val="0"/>
        <w:rPr>
          <w:b/>
          <w:color w:val="auto"/>
          <w:highlight w:val="none"/>
        </w:rPr>
      </w:pPr>
      <w:r>
        <w:rPr>
          <w:b/>
          <w:bCs/>
          <w:color w:val="auto"/>
          <w:sz w:val="21"/>
          <w:szCs w:val="21"/>
          <w:highlight w:val="none"/>
        </w:rPr>
        <w:t>评审标准</w:t>
      </w:r>
    </w:p>
    <w:p>
      <w:pPr>
        <w:pStyle w:val="14"/>
        <w:spacing w:before="7"/>
        <w:rPr>
          <w:b/>
          <w:color w:val="auto"/>
          <w:sz w:val="15"/>
          <w:highlight w:val="none"/>
        </w:rPr>
      </w:pPr>
    </w:p>
    <w:p>
      <w:pPr>
        <w:numPr>
          <w:ilvl w:val="1"/>
          <w:numId w:val="20"/>
        </w:numPr>
        <w:bidi w:val="0"/>
        <w:rPr>
          <w:color w:val="auto"/>
          <w:highlight w:val="none"/>
        </w:rPr>
      </w:pPr>
      <w:r>
        <w:rPr>
          <w:color w:val="auto"/>
          <w:highlight w:val="none"/>
        </w:rPr>
        <w:t>初步评审标准</w:t>
      </w:r>
    </w:p>
    <w:p>
      <w:pPr>
        <w:pStyle w:val="14"/>
        <w:spacing w:before="6"/>
        <w:rPr>
          <w:color w:val="auto"/>
          <w:sz w:val="15"/>
          <w:highlight w:val="none"/>
        </w:rPr>
      </w:pPr>
    </w:p>
    <w:p>
      <w:pPr>
        <w:pStyle w:val="28"/>
        <w:numPr>
          <w:ilvl w:val="2"/>
          <w:numId w:val="20"/>
        </w:numPr>
        <w:tabs>
          <w:tab w:val="left" w:pos="1931"/>
          <w:tab w:val="left" w:pos="1932"/>
        </w:tabs>
        <w:spacing w:before="1" w:after="0" w:line="240" w:lineRule="auto"/>
        <w:ind w:left="1931" w:right="0" w:hanging="841"/>
        <w:jc w:val="left"/>
        <w:rPr>
          <w:color w:val="auto"/>
          <w:sz w:val="21"/>
          <w:highlight w:val="none"/>
        </w:rPr>
      </w:pPr>
      <w:r>
        <w:rPr>
          <w:color w:val="auto"/>
          <w:highlight w:val="none"/>
        </w:rPr>
        <w:t>形式评审标准：见评标办法前附表。</w:t>
      </w:r>
    </w:p>
    <w:p>
      <w:pPr>
        <w:pStyle w:val="14"/>
        <w:spacing w:before="6"/>
        <w:rPr>
          <w:color w:val="auto"/>
          <w:sz w:val="15"/>
          <w:highlight w:val="none"/>
        </w:rPr>
      </w:pPr>
    </w:p>
    <w:p>
      <w:pPr>
        <w:pStyle w:val="28"/>
        <w:numPr>
          <w:ilvl w:val="2"/>
          <w:numId w:val="20"/>
        </w:numPr>
        <w:tabs>
          <w:tab w:val="left" w:pos="1931"/>
          <w:tab w:val="left" w:pos="1932"/>
        </w:tabs>
        <w:spacing w:before="0" w:after="0" w:line="417" w:lineRule="auto"/>
        <w:ind w:left="671" w:right="953" w:firstLine="420"/>
        <w:jc w:val="left"/>
        <w:rPr>
          <w:color w:val="auto"/>
          <w:sz w:val="21"/>
          <w:highlight w:val="none"/>
        </w:rPr>
      </w:pPr>
      <w:r>
        <w:rPr>
          <w:color w:val="auto"/>
          <w:highlight w:val="none"/>
        </w:rPr>
        <w:t>资格评审标准：见评标办法前附表（适用于未进行资格预审的）与投标人须知“3.5资格审查资料（适用于未进行资格预审的）”。</w:t>
      </w:r>
    </w:p>
    <w:p>
      <w:pPr>
        <w:numPr>
          <w:ilvl w:val="2"/>
          <w:numId w:val="20"/>
        </w:numPr>
        <w:bidi w:val="0"/>
        <w:rPr>
          <w:color w:val="auto"/>
          <w:highlight w:val="none"/>
        </w:rPr>
      </w:pPr>
      <w:r>
        <w:rPr>
          <w:color w:val="auto"/>
          <w:highlight w:val="none"/>
        </w:rPr>
        <w:t>响应性评审标准：见评标办法前附表。</w:t>
      </w:r>
    </w:p>
    <w:p>
      <w:pPr>
        <w:pStyle w:val="14"/>
        <w:spacing w:before="7"/>
        <w:rPr>
          <w:color w:val="auto"/>
          <w:sz w:val="15"/>
          <w:highlight w:val="none"/>
        </w:rPr>
      </w:pPr>
    </w:p>
    <w:p>
      <w:pPr>
        <w:numPr>
          <w:ilvl w:val="1"/>
          <w:numId w:val="20"/>
        </w:numPr>
        <w:bidi w:val="0"/>
        <w:rPr>
          <w:color w:val="auto"/>
          <w:highlight w:val="none"/>
        </w:rPr>
      </w:pPr>
      <w:r>
        <w:rPr>
          <w:color w:val="auto"/>
          <w:highlight w:val="none"/>
        </w:rPr>
        <w:t>详细评审标准</w:t>
      </w:r>
    </w:p>
    <w:p>
      <w:pPr>
        <w:pStyle w:val="14"/>
        <w:spacing w:before="7"/>
        <w:rPr>
          <w:color w:val="auto"/>
          <w:sz w:val="15"/>
          <w:highlight w:val="none"/>
        </w:rPr>
      </w:pPr>
    </w:p>
    <w:p>
      <w:pPr>
        <w:pStyle w:val="14"/>
        <w:spacing w:line="417" w:lineRule="auto"/>
        <w:ind w:left="1091" w:right="4523"/>
        <w:jc w:val="both"/>
        <w:rPr>
          <w:color w:val="auto"/>
          <w:spacing w:val="-10"/>
          <w:highlight w:val="none"/>
        </w:rPr>
      </w:pPr>
      <w:r>
        <w:rPr>
          <w:color w:val="auto"/>
          <w:highlight w:val="none"/>
        </w:rPr>
        <w:t>详细评审标准：见评标办法前附表及3.2评细评审。</w:t>
      </w:r>
    </w:p>
    <w:p>
      <w:pPr>
        <w:pStyle w:val="14"/>
        <w:spacing w:line="417" w:lineRule="auto"/>
        <w:ind w:left="1091" w:right="4523"/>
        <w:jc w:val="both"/>
        <w:rPr>
          <w:b/>
          <w:color w:val="auto"/>
          <w:highlight w:val="none"/>
        </w:rPr>
      </w:pPr>
      <w:r>
        <w:rPr>
          <w:b/>
          <w:color w:val="auto"/>
          <w:spacing w:val="-10"/>
          <w:highlight w:val="none"/>
        </w:rPr>
        <w:t>3.</w:t>
      </w:r>
      <w:r>
        <w:rPr>
          <w:b/>
          <w:bCs/>
          <w:color w:val="auto"/>
          <w:highlight w:val="none"/>
        </w:rPr>
        <w:t>评标程序</w:t>
      </w:r>
    </w:p>
    <w:p>
      <w:pPr>
        <w:numPr>
          <w:ilvl w:val="1"/>
          <w:numId w:val="21"/>
        </w:numPr>
        <w:bidi w:val="0"/>
        <w:rPr>
          <w:b/>
          <w:bCs/>
          <w:color w:val="auto"/>
          <w:highlight w:val="none"/>
        </w:rPr>
      </w:pPr>
      <w:r>
        <w:rPr>
          <w:b/>
          <w:bCs/>
          <w:color w:val="auto"/>
          <w:highlight w:val="none"/>
        </w:rPr>
        <w:t>初步评审</w:t>
      </w:r>
    </w:p>
    <w:p>
      <w:pPr>
        <w:pStyle w:val="14"/>
        <w:spacing w:before="6"/>
        <w:rPr>
          <w:b/>
          <w:color w:val="auto"/>
          <w:sz w:val="15"/>
          <w:highlight w:val="none"/>
        </w:rPr>
      </w:pPr>
    </w:p>
    <w:p>
      <w:pPr>
        <w:pStyle w:val="28"/>
        <w:numPr>
          <w:ilvl w:val="2"/>
          <w:numId w:val="21"/>
        </w:numPr>
        <w:tabs>
          <w:tab w:val="left" w:pos="1932"/>
        </w:tabs>
        <w:spacing w:before="1" w:after="0" w:line="417" w:lineRule="auto"/>
        <w:ind w:left="671" w:right="955" w:firstLine="420"/>
        <w:jc w:val="both"/>
        <w:rPr>
          <w:color w:val="auto"/>
          <w:sz w:val="21"/>
          <w:highlight w:val="none"/>
        </w:rPr>
      </w:pPr>
      <w:r>
        <w:rPr>
          <w:color w:val="auto"/>
          <w:highlight w:val="none"/>
        </w:rPr>
        <w:t>招标人在开标会上根据招标文件中投标文件不予受理情形的规定，对投标人的投标文件是否应当受理进行审查，然后将应当受理的投标文件提交评标委员会评审；</w:t>
      </w:r>
    </w:p>
    <w:p>
      <w:pPr>
        <w:pStyle w:val="28"/>
        <w:numPr>
          <w:ilvl w:val="2"/>
          <w:numId w:val="21"/>
        </w:numPr>
        <w:tabs>
          <w:tab w:val="left" w:pos="1932"/>
        </w:tabs>
        <w:spacing w:before="0" w:after="0" w:line="417" w:lineRule="auto"/>
        <w:ind w:left="671" w:right="955" w:firstLine="420"/>
        <w:jc w:val="both"/>
        <w:rPr>
          <w:color w:val="auto"/>
          <w:sz w:val="21"/>
          <w:highlight w:val="none"/>
        </w:rPr>
      </w:pPr>
      <w:r>
        <w:rPr>
          <w:color w:val="auto"/>
          <w:highlight w:val="none"/>
        </w:rPr>
        <w:t>评标委员会根据招标文件初步评审内容的规定，对所有应当受理的投标文件进行初步评审；评标委员会可以要求投标人提交第二章“投标人须知”第 3.5.1 项规定的有关证明和证件的原件，以便核验。评标委员会依据本章第 2.1 款规定的标准对投标文件进行初步评审。有一项不符合评审标准的，作无效投标处理。在初步评审过程中，评标委员会对初步评审意见不一致时，按照少数服从多数的原则确定，以书面形式予以表决。</w:t>
      </w:r>
    </w:p>
    <w:p>
      <w:pPr>
        <w:pStyle w:val="28"/>
        <w:numPr>
          <w:ilvl w:val="2"/>
          <w:numId w:val="21"/>
        </w:numPr>
        <w:tabs>
          <w:tab w:val="left" w:pos="1932"/>
        </w:tabs>
        <w:spacing w:before="0" w:after="0" w:line="268" w:lineRule="exact"/>
        <w:ind w:left="1931" w:right="0" w:hanging="841"/>
        <w:jc w:val="both"/>
        <w:rPr>
          <w:color w:val="auto"/>
          <w:sz w:val="21"/>
          <w:highlight w:val="none"/>
        </w:rPr>
      </w:pPr>
      <w:r>
        <w:rPr>
          <w:color w:val="auto"/>
          <w:highlight w:val="none"/>
        </w:rPr>
        <w:t>投标人有以下情形之一的，其无效投标处理：</w:t>
      </w:r>
    </w:p>
    <w:p>
      <w:pPr>
        <w:pStyle w:val="14"/>
        <w:spacing w:before="6"/>
        <w:rPr>
          <w:color w:val="auto"/>
          <w:sz w:val="15"/>
          <w:highlight w:val="none"/>
        </w:rPr>
      </w:pPr>
    </w:p>
    <w:p>
      <w:pPr>
        <w:pStyle w:val="28"/>
        <w:numPr>
          <w:ilvl w:val="0"/>
          <w:numId w:val="22"/>
        </w:numPr>
        <w:tabs>
          <w:tab w:val="left" w:pos="1616"/>
        </w:tabs>
        <w:spacing w:before="0" w:after="0" w:line="240" w:lineRule="auto"/>
        <w:ind w:left="1615" w:right="0" w:hanging="525"/>
        <w:jc w:val="left"/>
        <w:rPr>
          <w:color w:val="auto"/>
          <w:sz w:val="21"/>
          <w:highlight w:val="none"/>
        </w:rPr>
      </w:pPr>
      <w:r>
        <w:rPr>
          <w:color w:val="auto"/>
          <w:highlight w:val="none"/>
        </w:rPr>
        <w:t>第二章“投标人须知”第 1.4.3 项规定的任何一种情形的</w:t>
      </w:r>
      <w:r>
        <w:rPr>
          <w:color w:val="auto"/>
          <w:spacing w:val="-8"/>
          <w:sz w:val="21"/>
          <w:highlight w:val="none"/>
        </w:rPr>
        <w:t>；</w:t>
      </w:r>
    </w:p>
    <w:p>
      <w:pPr>
        <w:pStyle w:val="14"/>
        <w:spacing w:before="7"/>
        <w:rPr>
          <w:color w:val="auto"/>
          <w:sz w:val="15"/>
          <w:highlight w:val="none"/>
        </w:rPr>
      </w:pPr>
    </w:p>
    <w:p>
      <w:pPr>
        <w:pStyle w:val="28"/>
        <w:numPr>
          <w:ilvl w:val="0"/>
          <w:numId w:val="22"/>
        </w:numPr>
        <w:tabs>
          <w:tab w:val="left" w:pos="1616"/>
        </w:tabs>
        <w:spacing w:before="0" w:after="0" w:line="240" w:lineRule="auto"/>
        <w:ind w:left="1615" w:right="0" w:hanging="525"/>
        <w:jc w:val="left"/>
        <w:rPr>
          <w:color w:val="auto"/>
          <w:sz w:val="21"/>
          <w:highlight w:val="none"/>
        </w:rPr>
      </w:pPr>
      <w:r>
        <w:rPr>
          <w:color w:val="auto"/>
          <w:highlight w:val="none"/>
        </w:rPr>
        <w:t>串通投标或弄虚作假或有其他违法行为的；</w:t>
      </w:r>
    </w:p>
    <w:p>
      <w:pPr>
        <w:pStyle w:val="14"/>
        <w:spacing w:before="6"/>
        <w:rPr>
          <w:color w:val="auto"/>
          <w:sz w:val="15"/>
          <w:highlight w:val="none"/>
        </w:rPr>
      </w:pPr>
    </w:p>
    <w:p>
      <w:pPr>
        <w:pStyle w:val="28"/>
        <w:numPr>
          <w:ilvl w:val="0"/>
          <w:numId w:val="22"/>
        </w:numPr>
        <w:tabs>
          <w:tab w:val="left" w:pos="1616"/>
        </w:tabs>
        <w:spacing w:before="0" w:after="0" w:line="240" w:lineRule="auto"/>
        <w:ind w:left="1615" w:right="0" w:hanging="525"/>
        <w:jc w:val="left"/>
        <w:rPr>
          <w:color w:val="auto"/>
          <w:sz w:val="21"/>
          <w:highlight w:val="none"/>
        </w:rPr>
      </w:pPr>
      <w:r>
        <w:rPr>
          <w:color w:val="auto"/>
          <w:highlight w:val="none"/>
        </w:rPr>
        <w:t>不按评标委员会要求澄清、说明或补正的。</w:t>
      </w:r>
    </w:p>
    <w:p>
      <w:pPr>
        <w:pStyle w:val="14"/>
        <w:spacing w:before="7"/>
        <w:rPr>
          <w:color w:val="auto"/>
          <w:sz w:val="15"/>
          <w:highlight w:val="none"/>
        </w:rPr>
      </w:pPr>
    </w:p>
    <w:p>
      <w:pPr>
        <w:pStyle w:val="28"/>
        <w:numPr>
          <w:ilvl w:val="2"/>
          <w:numId w:val="21"/>
        </w:numPr>
        <w:tabs>
          <w:tab w:val="left" w:pos="1668"/>
        </w:tabs>
        <w:spacing w:before="0" w:after="0" w:line="240" w:lineRule="auto"/>
        <w:ind w:left="1667" w:right="0" w:hanging="577"/>
        <w:jc w:val="left"/>
        <w:rPr>
          <w:color w:val="auto"/>
          <w:highlight w:val="none"/>
        </w:rPr>
      </w:pPr>
      <w:r>
        <w:rPr>
          <w:color w:val="auto"/>
          <w:highlight w:val="none"/>
        </w:rPr>
        <w:t>本标段项目投标报价不允许有算术错误的，若有，其投标作废处理。</w:t>
      </w:r>
    </w:p>
    <w:p>
      <w:pPr>
        <w:pStyle w:val="14"/>
        <w:spacing w:before="7"/>
        <w:rPr>
          <w:color w:val="auto"/>
          <w:sz w:val="15"/>
          <w:highlight w:val="none"/>
        </w:rPr>
      </w:pPr>
    </w:p>
    <w:p>
      <w:pPr>
        <w:pStyle w:val="28"/>
        <w:numPr>
          <w:ilvl w:val="2"/>
          <w:numId w:val="21"/>
        </w:numPr>
        <w:tabs>
          <w:tab w:val="left" w:pos="1668"/>
        </w:tabs>
        <w:spacing w:before="0" w:after="0" w:line="417" w:lineRule="auto"/>
        <w:ind w:left="671" w:right="1008" w:firstLine="420"/>
        <w:jc w:val="left"/>
        <w:rPr>
          <w:color w:val="auto"/>
          <w:sz w:val="21"/>
          <w:highlight w:val="none"/>
        </w:rPr>
      </w:pPr>
      <w:r>
        <w:rPr>
          <w:color w:val="auto"/>
          <w:highlight w:val="none"/>
        </w:rPr>
        <w:t>初步评审主要包括对投标人投标文件响应招标文件的审查、重大偏差的审查等内容。经初步评审后，确定合格的投标文件和作废的投标文件。</w:t>
      </w:r>
    </w:p>
    <w:p>
      <w:pPr>
        <w:pStyle w:val="14"/>
        <w:spacing w:line="417" w:lineRule="auto"/>
        <w:ind w:left="671" w:right="955" w:firstLine="420"/>
        <w:rPr>
          <w:color w:val="auto"/>
          <w:highlight w:val="none"/>
        </w:rPr>
      </w:pPr>
      <w:r>
        <w:rPr>
          <w:color w:val="auto"/>
          <w:w w:val="95"/>
          <w:highlight w:val="none"/>
        </w:rPr>
        <w:t>1</w:t>
      </w:r>
      <w:r>
        <w:rPr>
          <w:color w:val="auto"/>
          <w:spacing w:val="-11"/>
          <w:w w:val="95"/>
          <w:highlight w:val="none"/>
        </w:rPr>
        <w:t>、</w:t>
      </w:r>
      <w:r>
        <w:rPr>
          <w:color w:val="auto"/>
          <w:highlight w:val="none"/>
        </w:rPr>
        <w:t>响应性、重大偏差审查：对投标人投标文件的响应性、符合性进行审查，如发现投标文件与招标文件的要求有重大偏离或保留，而且调整这种偏离或保留将会对其他符合招标原则的投标人的竞争地位产生不公正影响时，其初步评审定为不合格，此投标文件将不得进入下步评审，响应性、符合性评审内容及合格标准如下：</w:t>
      </w:r>
    </w:p>
    <w:p>
      <w:pPr>
        <w:pStyle w:val="28"/>
        <w:numPr>
          <w:ilvl w:val="0"/>
          <w:numId w:val="0"/>
        </w:numPr>
        <w:tabs>
          <w:tab w:val="left" w:pos="1616"/>
        </w:tabs>
        <w:spacing w:before="0" w:after="0" w:line="360" w:lineRule="auto"/>
        <w:ind w:left="1090" w:leftChars="0" w:right="0" w:rightChars="0"/>
        <w:jc w:val="left"/>
        <w:rPr>
          <w:color w:val="auto"/>
          <w:highlight w:val="none"/>
        </w:rPr>
      </w:pPr>
      <w:r>
        <w:rPr>
          <w:color w:val="auto"/>
          <w:highlight w:val="none"/>
        </w:rPr>
        <w:t>(1)按照招标文件要求和规定编制，没有内容不全或关键字迹模糊、无法辨认的；</w:t>
      </w:r>
    </w:p>
    <w:p>
      <w:pPr>
        <w:pStyle w:val="28"/>
        <w:numPr>
          <w:ilvl w:val="0"/>
          <w:numId w:val="0"/>
        </w:numPr>
        <w:tabs>
          <w:tab w:val="left" w:pos="1616"/>
        </w:tabs>
        <w:spacing w:before="0" w:after="0" w:line="360" w:lineRule="auto"/>
        <w:ind w:left="1090" w:leftChars="0" w:right="0" w:rightChars="0"/>
        <w:jc w:val="left"/>
        <w:rPr>
          <w:color w:val="auto"/>
          <w:highlight w:val="none"/>
        </w:rPr>
      </w:pPr>
      <w:r>
        <w:rPr>
          <w:color w:val="auto"/>
          <w:highlight w:val="none"/>
        </w:rPr>
        <w:t>(2)与招标文件质量要求、工期要求相符；</w:t>
      </w:r>
    </w:p>
    <w:p>
      <w:pPr>
        <w:pStyle w:val="28"/>
        <w:numPr>
          <w:ilvl w:val="0"/>
          <w:numId w:val="0"/>
        </w:numPr>
        <w:tabs>
          <w:tab w:val="left" w:pos="1616"/>
        </w:tabs>
        <w:spacing w:before="0" w:after="0" w:line="360" w:lineRule="auto"/>
        <w:ind w:left="1090" w:leftChars="0" w:right="0" w:rightChars="0"/>
        <w:jc w:val="left"/>
        <w:rPr>
          <w:color w:val="auto"/>
          <w:highlight w:val="none"/>
        </w:rPr>
      </w:pPr>
      <w:r>
        <w:rPr>
          <w:color w:val="auto"/>
          <w:highlight w:val="none"/>
        </w:rPr>
        <w:t>(</w:t>
      </w:r>
      <w:r>
        <w:rPr>
          <w:rFonts w:hint="eastAsia"/>
          <w:color w:val="auto"/>
          <w:highlight w:val="none"/>
          <w:lang w:val="en-US" w:eastAsia="zh-CN"/>
        </w:rPr>
        <w:t>3</w:t>
      </w:r>
      <w:r>
        <w:rPr>
          <w:color w:val="auto"/>
          <w:highlight w:val="none"/>
        </w:rPr>
        <w:t>)投标人递交投标文件内容一致，与招标文件中要求的合同条件相符，没有附有招标</w:t>
      </w:r>
    </w:p>
    <w:p>
      <w:pPr>
        <w:pStyle w:val="28"/>
        <w:numPr>
          <w:ilvl w:val="0"/>
          <w:numId w:val="0"/>
        </w:numPr>
        <w:tabs>
          <w:tab w:val="left" w:pos="1616"/>
        </w:tabs>
        <w:spacing w:before="0" w:after="0" w:line="360" w:lineRule="auto"/>
        <w:ind w:left="1090" w:leftChars="0" w:right="0" w:rightChars="0"/>
        <w:jc w:val="left"/>
        <w:rPr>
          <w:color w:val="auto"/>
          <w:highlight w:val="none"/>
        </w:rPr>
      </w:pPr>
      <w:r>
        <w:rPr>
          <w:color w:val="auto"/>
          <w:highlight w:val="none"/>
        </w:rPr>
        <w:t>人不能接受的其他条件；</w:t>
      </w:r>
    </w:p>
    <w:p>
      <w:pPr>
        <w:pStyle w:val="28"/>
        <w:numPr>
          <w:ilvl w:val="0"/>
          <w:numId w:val="0"/>
        </w:numPr>
        <w:tabs>
          <w:tab w:val="left" w:pos="1616"/>
        </w:tabs>
        <w:spacing w:before="0" w:after="0" w:line="360" w:lineRule="auto"/>
        <w:ind w:left="1090" w:leftChars="0" w:right="0" w:rightChars="0"/>
        <w:jc w:val="left"/>
        <w:rPr>
          <w:color w:val="auto"/>
          <w:highlight w:val="none"/>
        </w:rPr>
      </w:pPr>
      <w:r>
        <w:rPr>
          <w:color w:val="auto"/>
          <w:highlight w:val="none"/>
        </w:rPr>
        <w:t>(</w:t>
      </w:r>
      <w:r>
        <w:rPr>
          <w:rFonts w:hint="eastAsia"/>
          <w:color w:val="auto"/>
          <w:highlight w:val="none"/>
          <w:lang w:val="en-US" w:eastAsia="zh-CN"/>
        </w:rPr>
        <w:t>4</w:t>
      </w:r>
      <w:r>
        <w:rPr>
          <w:color w:val="auto"/>
          <w:highlight w:val="none"/>
        </w:rPr>
        <w:t>)总报价没有高出最高限价值的，各单项工程报价没有高出该项的最高限价值的；</w:t>
      </w:r>
    </w:p>
    <w:p>
      <w:pPr>
        <w:pStyle w:val="28"/>
        <w:numPr>
          <w:ilvl w:val="0"/>
          <w:numId w:val="0"/>
        </w:numPr>
        <w:tabs>
          <w:tab w:val="left" w:pos="1408"/>
        </w:tabs>
        <w:spacing w:before="0" w:after="0" w:line="360" w:lineRule="auto"/>
        <w:ind w:left="1091" w:leftChars="0" w:right="1689" w:rightChars="0"/>
        <w:jc w:val="left"/>
        <w:rPr>
          <w:color w:val="auto"/>
          <w:sz w:val="21"/>
          <w:highlight w:val="none"/>
        </w:rPr>
      </w:pPr>
      <w:r>
        <w:rPr>
          <w:color w:val="auto"/>
          <w:highlight w:val="none"/>
        </w:rPr>
        <w:t>(</w:t>
      </w:r>
      <w:r>
        <w:rPr>
          <w:rFonts w:hint="eastAsia"/>
          <w:color w:val="auto"/>
          <w:highlight w:val="none"/>
          <w:lang w:val="en-US" w:eastAsia="zh-CN"/>
        </w:rPr>
        <w:t>5</w:t>
      </w:r>
      <w:r>
        <w:rPr>
          <w:color w:val="auto"/>
          <w:highlight w:val="none"/>
        </w:rPr>
        <w:t>)任何报价没有出现负数的。</w:t>
      </w:r>
    </w:p>
    <w:p>
      <w:pPr>
        <w:pStyle w:val="28"/>
        <w:numPr>
          <w:ilvl w:val="0"/>
          <w:numId w:val="0"/>
        </w:numPr>
        <w:tabs>
          <w:tab w:val="left" w:pos="1408"/>
        </w:tabs>
        <w:spacing w:before="0" w:after="0" w:line="417" w:lineRule="auto"/>
        <w:ind w:left="1091" w:leftChars="0" w:right="955" w:rightChars="0"/>
        <w:jc w:val="left"/>
        <w:rPr>
          <w:color w:val="auto"/>
          <w:sz w:val="21"/>
          <w:highlight w:val="none"/>
        </w:rPr>
      </w:pPr>
      <w:r>
        <w:rPr>
          <w:color w:val="auto"/>
          <w:highlight w:val="none"/>
        </w:rPr>
        <w:t>(</w:t>
      </w:r>
      <w:r>
        <w:rPr>
          <w:rFonts w:hint="eastAsia"/>
          <w:color w:val="auto"/>
          <w:highlight w:val="none"/>
          <w:lang w:val="en-US" w:eastAsia="zh-CN"/>
        </w:rPr>
        <w:t>6</w:t>
      </w:r>
      <w:r>
        <w:rPr>
          <w:color w:val="auto"/>
          <w:highlight w:val="none"/>
        </w:rPr>
        <w:t>)没有不符合本招标文件中“第二章投标人须知“二、投标须知’”第 10.2 款所规定的强制性费用报价的和评标办法前附表；</w:t>
      </w:r>
    </w:p>
    <w:p>
      <w:pPr>
        <w:pStyle w:val="28"/>
        <w:numPr>
          <w:ilvl w:val="0"/>
          <w:numId w:val="0"/>
        </w:numPr>
        <w:tabs>
          <w:tab w:val="left" w:pos="1408"/>
        </w:tabs>
        <w:spacing w:before="0" w:after="0" w:line="269" w:lineRule="exact"/>
        <w:ind w:left="1090" w:leftChars="0" w:right="0" w:rightChars="0"/>
        <w:jc w:val="left"/>
        <w:rPr>
          <w:color w:val="auto"/>
          <w:sz w:val="21"/>
          <w:highlight w:val="none"/>
        </w:rPr>
      </w:pPr>
      <w:r>
        <w:rPr>
          <w:color w:val="auto"/>
          <w:highlight w:val="none"/>
        </w:rPr>
        <w:t>(</w:t>
      </w:r>
      <w:r>
        <w:rPr>
          <w:rFonts w:hint="eastAsia"/>
          <w:color w:val="auto"/>
          <w:highlight w:val="none"/>
          <w:lang w:val="en-US" w:eastAsia="zh-CN"/>
        </w:rPr>
        <w:t>7</w:t>
      </w:r>
      <w:r>
        <w:rPr>
          <w:color w:val="auto"/>
          <w:highlight w:val="none"/>
        </w:rPr>
        <w:t>)投标文件内容中所有要求投标人签字或盖章的。</w:t>
      </w:r>
    </w:p>
    <w:p>
      <w:pPr>
        <w:pStyle w:val="14"/>
        <w:spacing w:before="6"/>
        <w:rPr>
          <w:color w:val="auto"/>
          <w:sz w:val="15"/>
          <w:highlight w:val="none"/>
        </w:rPr>
      </w:pPr>
    </w:p>
    <w:p>
      <w:pPr>
        <w:pStyle w:val="14"/>
        <w:spacing w:line="417" w:lineRule="auto"/>
        <w:ind w:left="671" w:right="955" w:firstLine="420"/>
        <w:jc w:val="both"/>
        <w:rPr>
          <w:color w:val="auto"/>
          <w:highlight w:val="none"/>
        </w:rPr>
      </w:pPr>
      <w:r>
        <w:rPr>
          <w:color w:val="auto"/>
          <w:w w:val="95"/>
          <w:highlight w:val="none"/>
        </w:rPr>
        <w:t>2、</w:t>
      </w:r>
      <w:r>
        <w:rPr>
          <w:color w:val="auto"/>
          <w:highlight w:val="none"/>
        </w:rPr>
        <w:t>在初步评审过程中,评标委员会对初步评审意见不一致时，保存评审资料并启动复核程序对投标文件评审意见不一致处进行复核，并作出评审说明。如果经过复核后评审意见仍然达不成一致时，按照少数服从多数的原则确定，以书面形式予以表决。</w:t>
      </w:r>
    </w:p>
    <w:p>
      <w:pPr>
        <w:numPr>
          <w:ilvl w:val="1"/>
          <w:numId w:val="21"/>
        </w:numPr>
        <w:bidi w:val="0"/>
        <w:rPr>
          <w:b/>
          <w:bCs/>
          <w:color w:val="auto"/>
          <w:sz w:val="21"/>
          <w:szCs w:val="21"/>
          <w:highlight w:val="none"/>
        </w:rPr>
      </w:pPr>
      <w:r>
        <w:rPr>
          <w:b/>
          <w:bCs/>
          <w:color w:val="auto"/>
          <w:sz w:val="21"/>
          <w:szCs w:val="21"/>
          <w:highlight w:val="none"/>
        </w:rPr>
        <w:t>详细评审</w:t>
      </w:r>
    </w:p>
    <w:p>
      <w:pPr>
        <w:pStyle w:val="14"/>
        <w:spacing w:before="6"/>
        <w:rPr>
          <w:b/>
          <w:color w:val="auto"/>
          <w:sz w:val="15"/>
          <w:highlight w:val="none"/>
        </w:rPr>
      </w:pPr>
    </w:p>
    <w:p>
      <w:pPr>
        <w:pStyle w:val="14"/>
        <w:ind w:left="1091"/>
        <w:rPr>
          <w:color w:val="auto"/>
          <w:highlight w:val="none"/>
        </w:rPr>
      </w:pPr>
      <w:r>
        <w:rPr>
          <w:color w:val="auto"/>
          <w:highlight w:val="none"/>
        </w:rPr>
        <w:t>本次评标采用综合评估法评标。</w:t>
      </w:r>
    </w:p>
    <w:p>
      <w:pPr>
        <w:pStyle w:val="14"/>
        <w:spacing w:before="7"/>
        <w:rPr>
          <w:color w:val="auto"/>
          <w:sz w:val="15"/>
          <w:highlight w:val="none"/>
        </w:rPr>
      </w:pPr>
    </w:p>
    <w:p>
      <w:pPr>
        <w:pStyle w:val="28"/>
        <w:numPr>
          <w:ilvl w:val="2"/>
          <w:numId w:val="21"/>
        </w:numPr>
        <w:tabs>
          <w:tab w:val="left" w:pos="1931"/>
          <w:tab w:val="left" w:pos="1932"/>
        </w:tabs>
        <w:spacing w:before="0" w:after="0" w:line="417" w:lineRule="auto"/>
        <w:ind w:left="671" w:right="955" w:firstLine="420"/>
        <w:jc w:val="left"/>
        <w:rPr>
          <w:color w:val="auto"/>
          <w:sz w:val="26"/>
          <w:highlight w:val="none"/>
        </w:rPr>
      </w:pPr>
      <w:r>
        <w:rPr>
          <w:color w:val="auto"/>
          <w:highlight w:val="none"/>
        </w:rPr>
        <w:t>对通过上述初步评审的投标文件，评标委员会按照下列评分办法进行计算投标人综合得分（采用百分制，满分 100 分）：</w:t>
      </w:r>
    </w:p>
    <w:tbl>
      <w:tblPr>
        <w:tblStyle w:val="23"/>
        <w:tblW w:w="9036"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10"/>
        <w:gridCol w:w="785"/>
        <w:gridCol w:w="6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01" w:type="dxa"/>
            <w:tcBorders>
              <w:tl2br w:val="nil"/>
              <w:tr2bl w:val="nil"/>
            </w:tcBorders>
            <w:vAlign w:val="center"/>
          </w:tcPr>
          <w:p>
            <w:pPr>
              <w:pStyle w:val="29"/>
              <w:jc w:val="center"/>
              <w:rPr>
                <w:rFonts w:ascii="Times New Roman"/>
                <w:color w:val="auto"/>
                <w:sz w:val="21"/>
                <w:szCs w:val="21"/>
                <w:highlight w:val="none"/>
              </w:rPr>
            </w:pPr>
            <w:r>
              <w:rPr>
                <w:b/>
                <w:bCs/>
                <w:color w:val="auto"/>
                <w:sz w:val="21"/>
                <w:szCs w:val="21"/>
                <w:highlight w:val="none"/>
              </w:rPr>
              <w:t>评审项目</w:t>
            </w:r>
          </w:p>
        </w:tc>
        <w:tc>
          <w:tcPr>
            <w:tcW w:w="1010" w:type="dxa"/>
            <w:tcBorders>
              <w:tl2br w:val="nil"/>
              <w:tr2bl w:val="nil"/>
            </w:tcBorders>
            <w:vAlign w:val="center"/>
          </w:tcPr>
          <w:p>
            <w:pPr>
              <w:pStyle w:val="29"/>
              <w:jc w:val="center"/>
              <w:rPr>
                <w:rFonts w:ascii="Times New Roman"/>
                <w:color w:val="auto"/>
                <w:sz w:val="21"/>
                <w:szCs w:val="21"/>
                <w:highlight w:val="none"/>
              </w:rPr>
            </w:pPr>
            <w:r>
              <w:rPr>
                <w:b/>
                <w:bCs/>
                <w:color w:val="auto"/>
                <w:sz w:val="21"/>
                <w:szCs w:val="21"/>
                <w:highlight w:val="none"/>
              </w:rPr>
              <w:t>子项</w:t>
            </w:r>
          </w:p>
        </w:tc>
        <w:tc>
          <w:tcPr>
            <w:tcW w:w="785" w:type="dxa"/>
            <w:tcBorders>
              <w:tl2br w:val="nil"/>
              <w:tr2bl w:val="nil"/>
            </w:tcBorders>
            <w:vAlign w:val="center"/>
          </w:tcPr>
          <w:p>
            <w:pPr>
              <w:pStyle w:val="29"/>
              <w:jc w:val="center"/>
              <w:rPr>
                <w:rFonts w:ascii="Times New Roman"/>
                <w:color w:val="auto"/>
                <w:sz w:val="21"/>
                <w:szCs w:val="21"/>
                <w:highlight w:val="none"/>
              </w:rPr>
            </w:pPr>
            <w:r>
              <w:rPr>
                <w:b/>
                <w:bCs/>
                <w:color w:val="auto"/>
                <w:sz w:val="21"/>
                <w:szCs w:val="21"/>
                <w:highlight w:val="none"/>
              </w:rPr>
              <w:t>分值</w:t>
            </w:r>
          </w:p>
        </w:tc>
        <w:tc>
          <w:tcPr>
            <w:tcW w:w="6140" w:type="dxa"/>
            <w:tcBorders>
              <w:tl2br w:val="nil"/>
              <w:tr2bl w:val="nil"/>
            </w:tcBorders>
            <w:vAlign w:val="center"/>
          </w:tcPr>
          <w:p>
            <w:pPr>
              <w:pStyle w:val="29"/>
              <w:spacing w:before="43"/>
              <w:ind w:left="108"/>
              <w:jc w:val="center"/>
              <w:rPr>
                <w:color w:val="auto"/>
                <w:sz w:val="21"/>
                <w:szCs w:val="21"/>
                <w:highlight w:val="none"/>
              </w:rPr>
            </w:pPr>
            <w:r>
              <w:rPr>
                <w:b/>
                <w:bCs/>
                <w:color w:val="auto"/>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01" w:type="dxa"/>
            <w:tcBorders>
              <w:tl2br w:val="nil"/>
              <w:tr2bl w:val="nil"/>
            </w:tcBorders>
            <w:vAlign w:val="center"/>
          </w:tcPr>
          <w:p>
            <w:pPr>
              <w:pStyle w:val="29"/>
              <w:jc w:val="center"/>
              <w:rPr>
                <w:rFonts w:ascii="Times New Roman"/>
                <w:color w:val="auto"/>
                <w:sz w:val="21"/>
                <w:szCs w:val="21"/>
                <w:highlight w:val="none"/>
              </w:rPr>
            </w:pPr>
            <w:r>
              <w:rPr>
                <w:b/>
                <w:bCs/>
                <w:color w:val="auto"/>
                <w:sz w:val="21"/>
                <w:szCs w:val="21"/>
                <w:highlight w:val="none"/>
              </w:rPr>
              <w:t>投标报价评审</w:t>
            </w:r>
          </w:p>
        </w:tc>
        <w:tc>
          <w:tcPr>
            <w:tcW w:w="1010" w:type="dxa"/>
            <w:tcBorders>
              <w:tl2br w:val="nil"/>
              <w:tr2bl w:val="nil"/>
            </w:tcBorders>
            <w:vAlign w:val="center"/>
          </w:tcPr>
          <w:p>
            <w:pPr>
              <w:pStyle w:val="29"/>
              <w:jc w:val="center"/>
              <w:rPr>
                <w:rFonts w:ascii="Times New Roman"/>
                <w:color w:val="auto"/>
                <w:sz w:val="21"/>
                <w:szCs w:val="21"/>
                <w:highlight w:val="none"/>
              </w:rPr>
            </w:pPr>
            <w:r>
              <w:rPr>
                <w:b/>
                <w:bCs/>
                <w:color w:val="auto"/>
                <w:sz w:val="21"/>
                <w:szCs w:val="21"/>
                <w:highlight w:val="none"/>
              </w:rPr>
              <w:t>投标报价</w:t>
            </w:r>
          </w:p>
        </w:tc>
        <w:tc>
          <w:tcPr>
            <w:tcW w:w="785" w:type="dxa"/>
            <w:tcBorders>
              <w:tl2br w:val="nil"/>
              <w:tr2bl w:val="nil"/>
            </w:tcBorders>
            <w:vAlign w:val="center"/>
          </w:tcPr>
          <w:p>
            <w:pPr>
              <w:pStyle w:val="29"/>
              <w:jc w:val="center"/>
              <w:rPr>
                <w:rFonts w:ascii="Times New Roman"/>
                <w:color w:val="auto"/>
                <w:sz w:val="21"/>
                <w:szCs w:val="21"/>
                <w:highlight w:val="none"/>
              </w:rPr>
            </w:pPr>
            <w:r>
              <w:rPr>
                <w:rFonts w:hint="eastAsia"/>
                <w:color w:val="auto"/>
                <w:sz w:val="21"/>
                <w:szCs w:val="21"/>
                <w:highlight w:val="none"/>
                <w:lang w:val="en-US" w:eastAsia="zh-CN"/>
              </w:rPr>
              <w:t>30</w:t>
            </w:r>
            <w:r>
              <w:rPr>
                <w:color w:val="auto"/>
                <w:sz w:val="21"/>
                <w:szCs w:val="21"/>
                <w:highlight w:val="none"/>
              </w:rPr>
              <w:t>分</w:t>
            </w:r>
          </w:p>
        </w:tc>
        <w:tc>
          <w:tcPr>
            <w:tcW w:w="6140" w:type="dxa"/>
            <w:tcBorders>
              <w:tl2br w:val="nil"/>
              <w:tr2bl w:val="nil"/>
            </w:tcBorders>
          </w:tcPr>
          <w:p>
            <w:pPr>
              <w:widowControl/>
              <w:spacing w:line="360" w:lineRule="exact"/>
              <w:rPr>
                <w:rFonts w:hint="eastAsia" w:ascii="宋体" w:hAnsi="宋体" w:cs="宋体"/>
                <w:b/>
                <w:bCs/>
                <w:color w:val="auto"/>
                <w:spacing w:val="-6"/>
                <w:sz w:val="21"/>
                <w:szCs w:val="21"/>
              </w:rPr>
            </w:pPr>
            <w:r>
              <w:rPr>
                <w:rFonts w:hint="eastAsia" w:ascii="宋体" w:hAnsi="宋体" w:cs="宋体"/>
                <w:b/>
                <w:bCs/>
                <w:color w:val="auto"/>
                <w:sz w:val="21"/>
                <w:szCs w:val="21"/>
              </w:rPr>
              <w:t>评标基准价A为有效投标报价的算术平均值</w:t>
            </w:r>
            <w:r>
              <w:rPr>
                <w:rFonts w:hint="eastAsia" w:ascii="宋体" w:hAnsi="宋体" w:cs="宋体"/>
                <w:b/>
                <w:bCs/>
                <w:color w:val="auto"/>
                <w:spacing w:val="-6"/>
                <w:sz w:val="21"/>
                <w:szCs w:val="21"/>
              </w:rPr>
              <w:t>（精确到</w:t>
            </w:r>
            <w:r>
              <w:rPr>
                <w:rFonts w:hint="eastAsia" w:ascii="宋体" w:hAnsi="宋体" w:cs="宋体"/>
                <w:b/>
                <w:bCs/>
                <w:color w:val="auto"/>
                <w:sz w:val="21"/>
                <w:szCs w:val="21"/>
              </w:rPr>
              <w:t>小数点后二位</w:t>
            </w:r>
            <w:r>
              <w:rPr>
                <w:rFonts w:hint="eastAsia" w:ascii="宋体" w:hAnsi="宋体" w:cs="宋体"/>
                <w:b/>
                <w:bCs/>
                <w:color w:val="auto"/>
                <w:spacing w:val="-6"/>
                <w:sz w:val="21"/>
                <w:szCs w:val="21"/>
              </w:rPr>
              <w:t>，</w:t>
            </w:r>
            <w:r>
              <w:rPr>
                <w:rFonts w:hint="eastAsia" w:ascii="宋体" w:hAnsi="宋体" w:cs="宋体"/>
                <w:b/>
                <w:bCs/>
                <w:color w:val="auto"/>
                <w:kern w:val="0"/>
                <w:sz w:val="21"/>
                <w:szCs w:val="21"/>
              </w:rPr>
              <w:t>小数点后3位四舍五入</w:t>
            </w:r>
            <w:r>
              <w:rPr>
                <w:rFonts w:hint="eastAsia" w:ascii="宋体" w:hAnsi="宋体" w:cs="宋体"/>
                <w:b/>
                <w:bCs/>
                <w:color w:val="auto"/>
                <w:spacing w:val="-6"/>
                <w:sz w:val="21"/>
                <w:szCs w:val="21"/>
              </w:rPr>
              <w:t>）</w:t>
            </w:r>
            <w:r>
              <w:rPr>
                <w:rFonts w:hint="eastAsia" w:cs="宋体"/>
                <w:b/>
                <w:bCs/>
                <w:color w:val="auto"/>
                <w:spacing w:val="-6"/>
                <w:sz w:val="21"/>
                <w:szCs w:val="21"/>
                <w:lang w:eastAsia="zh-CN"/>
              </w:rPr>
              <w:t>。</w:t>
            </w:r>
            <w:r>
              <w:rPr>
                <w:rFonts w:hint="eastAsia" w:ascii="宋体" w:hAnsi="宋体" w:cs="宋体"/>
                <w:b/>
                <w:bCs/>
                <w:color w:val="auto"/>
                <w:sz w:val="21"/>
                <w:szCs w:val="21"/>
              </w:rPr>
              <w:t>其中，计算平均值时，当有效投标人少于</w:t>
            </w:r>
            <w:r>
              <w:rPr>
                <w:rFonts w:hint="eastAsia" w:cs="宋体"/>
                <w:b/>
                <w:bCs/>
                <w:color w:val="auto"/>
                <w:sz w:val="21"/>
                <w:szCs w:val="21"/>
                <w:lang w:val="en-US" w:eastAsia="zh-CN"/>
              </w:rPr>
              <w:t>或等于5</w:t>
            </w:r>
            <w:r>
              <w:rPr>
                <w:rFonts w:hint="eastAsia" w:ascii="宋体" w:hAnsi="宋体" w:cs="宋体"/>
                <w:b/>
                <w:bCs/>
                <w:color w:val="auto"/>
                <w:sz w:val="21"/>
                <w:szCs w:val="21"/>
              </w:rPr>
              <w:t>家时，A为所有有效投标报价的算术平均值，当有效投标人为</w:t>
            </w:r>
            <w:r>
              <w:rPr>
                <w:rFonts w:hint="eastAsia" w:cs="宋体"/>
                <w:b/>
                <w:bCs/>
                <w:color w:val="auto"/>
                <w:sz w:val="21"/>
                <w:szCs w:val="21"/>
                <w:lang w:val="en-US" w:eastAsia="zh-CN"/>
              </w:rPr>
              <w:t>5</w:t>
            </w:r>
            <w:r>
              <w:rPr>
                <w:rFonts w:hint="eastAsia" w:ascii="宋体" w:hAnsi="宋体" w:cs="宋体"/>
                <w:b/>
                <w:bCs/>
                <w:color w:val="auto"/>
                <w:sz w:val="21"/>
                <w:szCs w:val="21"/>
              </w:rPr>
              <w:t>家以上时，A为去掉一家最高有效投标报价和一家最低有效投标报价后的算术平均值；B为各投标人的有效投标报价</w:t>
            </w:r>
            <w:r>
              <w:rPr>
                <w:rFonts w:hint="eastAsia" w:ascii="宋体" w:hAnsi="宋体" w:cs="宋体"/>
                <w:b/>
                <w:bCs/>
                <w:color w:val="auto"/>
                <w:spacing w:val="-6"/>
                <w:sz w:val="21"/>
                <w:szCs w:val="21"/>
              </w:rPr>
              <w:t>。</w:t>
            </w:r>
          </w:p>
          <w:p>
            <w:pPr>
              <w:spacing w:line="360" w:lineRule="exact"/>
              <w:rPr>
                <w:rFonts w:hint="eastAsia" w:ascii="宋体" w:hAnsi="宋体" w:cs="宋体"/>
                <w:b/>
                <w:bCs/>
                <w:color w:val="auto"/>
                <w:sz w:val="21"/>
                <w:szCs w:val="21"/>
              </w:rPr>
            </w:pPr>
            <w:r>
              <w:rPr>
                <w:rFonts w:hint="eastAsia" w:ascii="宋体" w:hAnsi="宋体" w:cs="宋体"/>
                <w:b/>
                <w:bCs/>
                <w:color w:val="auto"/>
                <w:sz w:val="21"/>
                <w:szCs w:val="21"/>
              </w:rPr>
              <w:t>根据各投标人的有效投标报价B与评标基准价A对比，投标报价评分按下式计算：</w:t>
            </w:r>
          </w:p>
          <w:p>
            <w:pPr>
              <w:autoSpaceDE w:val="0"/>
              <w:autoSpaceDN w:val="0"/>
              <w:adjustRightInd w:val="0"/>
              <w:spacing w:line="410" w:lineRule="exact"/>
              <w:rPr>
                <w:rFonts w:hint="eastAsia" w:ascii="宋体" w:hAnsi="宋体"/>
                <w:b/>
                <w:bCs/>
                <w:color w:val="auto"/>
                <w:sz w:val="21"/>
                <w:szCs w:val="21"/>
                <w:highlight w:val="none"/>
                <w:lang w:val="zh-CN"/>
              </w:rPr>
            </w:pPr>
            <w:r>
              <w:rPr>
                <w:rFonts w:hint="eastAsia"/>
                <w:b/>
                <w:bCs/>
                <w:color w:val="auto"/>
                <w:sz w:val="21"/>
                <w:szCs w:val="21"/>
                <w:highlight w:val="none"/>
                <w:lang w:val="en-US" w:eastAsia="zh-CN"/>
              </w:rPr>
              <w:t>投</w:t>
            </w:r>
            <w:r>
              <w:rPr>
                <w:rFonts w:hint="eastAsia" w:ascii="宋体" w:hAnsi="宋体"/>
                <w:b/>
                <w:bCs/>
                <w:color w:val="auto"/>
                <w:sz w:val="21"/>
                <w:szCs w:val="21"/>
                <w:highlight w:val="none"/>
              </w:rPr>
              <w:t>标报价得分F=</w:t>
            </w:r>
            <w:r>
              <w:rPr>
                <w:rFonts w:hint="eastAsia"/>
                <w:b/>
                <w:bCs/>
                <w:color w:val="auto"/>
                <w:sz w:val="21"/>
                <w:szCs w:val="21"/>
                <w:highlight w:val="none"/>
                <w:lang w:val="en-US" w:eastAsia="zh-CN"/>
              </w:rPr>
              <w:t xml:space="preserve">30 </w:t>
            </w:r>
            <w:r>
              <w:rPr>
                <w:rFonts w:hint="eastAsia" w:ascii="宋体" w:hAnsi="宋体"/>
                <w:b/>
                <w:bCs/>
                <w:color w:val="auto"/>
                <w:sz w:val="21"/>
                <w:szCs w:val="21"/>
                <w:highlight w:val="none"/>
                <w:lang w:val="zh-CN"/>
              </w:rPr>
              <w:t>-｜各投标人的偏差率｜×C</w:t>
            </w:r>
          </w:p>
          <w:p>
            <w:pPr>
              <w:bidi w:val="0"/>
              <w:rPr>
                <w:rFonts w:hint="eastAsia"/>
                <w:b/>
                <w:bCs/>
                <w:color w:val="auto"/>
                <w:kern w:val="0"/>
                <w:sz w:val="21"/>
                <w:szCs w:val="21"/>
                <w:highlight w:val="none"/>
                <w:lang w:val="en-US" w:eastAsia="zh-CN"/>
              </w:rPr>
            </w:pPr>
            <w:r>
              <w:rPr>
                <w:rFonts w:hint="eastAsia" w:ascii="宋体" w:hAnsi="宋体"/>
                <w:b/>
                <w:bCs/>
                <w:color w:val="auto"/>
                <w:sz w:val="21"/>
                <w:szCs w:val="21"/>
                <w:highlight w:val="none"/>
                <w:lang w:val="zh-CN"/>
              </w:rPr>
              <w:t>各投标人</w:t>
            </w:r>
            <w:r>
              <w:rPr>
                <w:rFonts w:hint="eastAsia" w:ascii="宋体" w:hAnsi="宋体"/>
                <w:b/>
                <w:bCs/>
                <w:color w:val="auto"/>
                <w:kern w:val="0"/>
                <w:sz w:val="21"/>
                <w:szCs w:val="21"/>
                <w:highlight w:val="none"/>
              </w:rPr>
              <w:t>偏差率 =100</w:t>
            </w:r>
            <w:r>
              <w:rPr>
                <w:rFonts w:ascii="宋体" w:hAnsi="宋体"/>
                <w:b/>
                <w:bCs/>
                <w:color w:val="auto"/>
                <w:kern w:val="0"/>
                <w:sz w:val="21"/>
                <w:szCs w:val="21"/>
                <w:highlight w:val="none"/>
              </w:rPr>
              <w:t>×</w:t>
            </w:r>
            <w:r>
              <w:rPr>
                <w:rFonts w:hint="eastAsia"/>
                <w:b/>
                <w:bCs/>
                <w:color w:val="auto"/>
                <w:kern w:val="0"/>
                <w:sz w:val="21"/>
                <w:szCs w:val="21"/>
                <w:highlight w:val="none"/>
                <w:lang w:val="en-US" w:eastAsia="zh-CN"/>
              </w:rPr>
              <w:t>|</w:t>
            </w:r>
            <w:r>
              <w:rPr>
                <w:rFonts w:ascii="宋体" w:hAnsi="宋体"/>
                <w:b/>
                <w:bCs/>
                <w:color w:val="auto"/>
                <w:kern w:val="0"/>
                <w:sz w:val="21"/>
                <w:szCs w:val="21"/>
                <w:highlight w:val="none"/>
              </w:rPr>
              <w:t>投标人的投标总</w:t>
            </w:r>
            <w:r>
              <w:rPr>
                <w:rFonts w:hint="eastAsia" w:ascii="宋体" w:hAnsi="宋体"/>
                <w:b/>
                <w:bCs/>
                <w:color w:val="auto"/>
                <w:kern w:val="0"/>
                <w:sz w:val="21"/>
                <w:szCs w:val="21"/>
                <w:highlight w:val="none"/>
              </w:rPr>
              <w:t>报</w:t>
            </w:r>
            <w:r>
              <w:rPr>
                <w:rFonts w:ascii="宋体" w:hAnsi="宋体"/>
                <w:b/>
                <w:bCs/>
                <w:color w:val="auto"/>
                <w:kern w:val="0"/>
                <w:sz w:val="21"/>
                <w:szCs w:val="21"/>
                <w:highlight w:val="none"/>
              </w:rPr>
              <w:t>价</w:t>
            </w:r>
            <w:r>
              <w:rPr>
                <w:rFonts w:hint="eastAsia"/>
                <w:b/>
                <w:bCs/>
                <w:color w:val="auto"/>
                <w:kern w:val="0"/>
                <w:sz w:val="21"/>
                <w:szCs w:val="21"/>
                <w:highlight w:val="none"/>
                <w:lang w:val="en-US" w:eastAsia="zh-CN"/>
              </w:rPr>
              <w:t>B</w:t>
            </w:r>
            <w:r>
              <w:rPr>
                <w:rFonts w:hint="eastAsia" w:ascii="宋体" w:hAnsi="宋体"/>
                <w:b/>
                <w:bCs/>
                <w:color w:val="auto"/>
                <w:kern w:val="0"/>
                <w:sz w:val="21"/>
                <w:szCs w:val="21"/>
                <w:highlight w:val="none"/>
              </w:rPr>
              <w:t>－</w:t>
            </w:r>
            <w:r>
              <w:rPr>
                <w:rFonts w:ascii="宋体" w:hAnsi="宋体"/>
                <w:b/>
                <w:bCs/>
                <w:color w:val="auto"/>
                <w:kern w:val="0"/>
                <w:sz w:val="21"/>
                <w:szCs w:val="21"/>
                <w:highlight w:val="none"/>
              </w:rPr>
              <w:t>评标基准价</w:t>
            </w:r>
            <w:r>
              <w:rPr>
                <w:rFonts w:hint="eastAsia" w:ascii="宋体" w:hAnsi="宋体" w:cs="宋体"/>
                <w:b/>
                <w:bCs/>
                <w:color w:val="auto"/>
                <w:sz w:val="21"/>
                <w:szCs w:val="21"/>
              </w:rPr>
              <w:t>A</w:t>
            </w:r>
            <w:r>
              <w:rPr>
                <w:rFonts w:hint="eastAsia" w:cs="宋体"/>
                <w:b/>
                <w:bCs/>
                <w:color w:val="auto"/>
                <w:sz w:val="21"/>
                <w:szCs w:val="21"/>
                <w:lang w:val="en-US" w:eastAsia="zh-CN"/>
              </w:rPr>
              <w:t>|</w:t>
            </w:r>
            <w:r>
              <w:rPr>
                <w:rFonts w:hint="default" w:ascii="Arial" w:hAnsi="Arial" w:cs="Arial"/>
                <w:b/>
                <w:bCs/>
                <w:color w:val="auto"/>
                <w:sz w:val="21"/>
                <w:szCs w:val="21"/>
                <w:lang w:val="en-US" w:eastAsia="zh-CN"/>
              </w:rPr>
              <w:t>÷</w:t>
            </w:r>
            <w:r>
              <w:rPr>
                <w:rFonts w:ascii="宋体" w:hAnsi="宋体"/>
                <w:b/>
                <w:bCs/>
                <w:color w:val="auto"/>
                <w:kern w:val="0"/>
                <w:sz w:val="21"/>
                <w:szCs w:val="21"/>
                <w:highlight w:val="none"/>
              </w:rPr>
              <w:t>评标基准价</w:t>
            </w:r>
            <w:r>
              <w:rPr>
                <w:rFonts w:hint="eastAsia" w:ascii="宋体" w:hAnsi="宋体" w:cs="宋体"/>
                <w:b/>
                <w:bCs/>
                <w:color w:val="auto"/>
                <w:sz w:val="21"/>
                <w:szCs w:val="21"/>
              </w:rPr>
              <w:t>A</w:t>
            </w:r>
          </w:p>
          <w:p>
            <w:pPr>
              <w:bidi w:val="0"/>
              <w:rPr>
                <w:rFonts w:ascii="宋体" w:hAnsi="宋体"/>
                <w:bCs/>
                <w:color w:val="auto"/>
                <w:sz w:val="21"/>
                <w:szCs w:val="21"/>
                <w:highlight w:val="none"/>
                <w:lang w:val="zh-CN"/>
              </w:rPr>
            </w:pPr>
            <w:r>
              <w:rPr>
                <w:rFonts w:hint="eastAsia" w:ascii="宋体" w:hAnsi="宋体"/>
                <w:bCs/>
                <w:color w:val="auto"/>
                <w:sz w:val="21"/>
                <w:szCs w:val="21"/>
                <w:highlight w:val="none"/>
                <w:lang w:val="zh-CN"/>
              </w:rPr>
              <w:t>C为扣分系数，当投标人的投标报价&gt;评标基准价时，C=</w:t>
            </w:r>
            <w:r>
              <w:rPr>
                <w:rFonts w:hint="eastAsia"/>
                <w:bCs/>
                <w:color w:val="auto"/>
                <w:sz w:val="21"/>
                <w:szCs w:val="21"/>
                <w:highlight w:val="none"/>
                <w:lang w:val="en-US" w:eastAsia="zh-CN"/>
              </w:rPr>
              <w:t>1</w:t>
            </w:r>
            <w:r>
              <w:rPr>
                <w:rFonts w:hint="eastAsia" w:ascii="宋体" w:hAnsi="宋体"/>
                <w:bCs/>
                <w:color w:val="auto"/>
                <w:sz w:val="21"/>
                <w:szCs w:val="21"/>
                <w:highlight w:val="none"/>
                <w:lang w:val="zh-CN"/>
              </w:rPr>
              <w:t>；投标人的投标报价≤评标基准价时，C=</w:t>
            </w:r>
            <w:r>
              <w:rPr>
                <w:rFonts w:hint="eastAsia"/>
                <w:bCs/>
                <w:color w:val="auto"/>
                <w:sz w:val="21"/>
                <w:szCs w:val="21"/>
                <w:highlight w:val="none"/>
                <w:lang w:val="en-US" w:eastAsia="zh-CN"/>
              </w:rPr>
              <w:t>0.5</w:t>
            </w:r>
            <w:r>
              <w:rPr>
                <w:rFonts w:hint="eastAsia" w:ascii="宋体" w:hAnsi="宋体"/>
                <w:bCs/>
                <w:color w:val="auto"/>
                <w:sz w:val="21"/>
                <w:szCs w:val="21"/>
                <w:highlight w:val="none"/>
                <w:lang w:val="zh-CN"/>
              </w:rPr>
              <w:t>。</w:t>
            </w:r>
          </w:p>
          <w:p>
            <w:pPr>
              <w:pStyle w:val="29"/>
              <w:spacing w:before="89" w:line="321" w:lineRule="auto"/>
              <w:ind w:right="141"/>
              <w:jc w:val="both"/>
              <w:rPr>
                <w:color w:val="auto"/>
                <w:sz w:val="21"/>
                <w:szCs w:val="21"/>
                <w:highlight w:val="none"/>
              </w:rPr>
            </w:pPr>
            <w:r>
              <w:rPr>
                <w:rFonts w:hint="eastAsia" w:ascii="宋体" w:hAnsi="宋体"/>
                <w:color w:val="auto"/>
                <w:kern w:val="0"/>
                <w:sz w:val="21"/>
                <w:szCs w:val="21"/>
                <w:highlight w:val="none"/>
              </w:rPr>
              <w:t>投标总报价得分</w:t>
            </w:r>
            <w:r>
              <w:rPr>
                <w:rFonts w:hint="eastAsia"/>
                <w:b/>
                <w:bCs/>
                <w:color w:val="auto"/>
                <w:kern w:val="0"/>
                <w:sz w:val="21"/>
                <w:szCs w:val="21"/>
                <w:highlight w:val="none"/>
                <w:lang w:val="en-US" w:eastAsia="zh-CN"/>
              </w:rPr>
              <w:t>F</w:t>
            </w:r>
            <w:r>
              <w:rPr>
                <w:rFonts w:hint="eastAsia" w:ascii="宋体" w:hAnsi="宋体"/>
                <w:color w:val="auto"/>
                <w:kern w:val="0"/>
                <w:sz w:val="21"/>
                <w:szCs w:val="21"/>
                <w:highlight w:val="none"/>
              </w:rPr>
              <w:t>最高分</w:t>
            </w:r>
            <w:r>
              <w:rPr>
                <w:rFonts w:hint="eastAsia"/>
                <w:color w:val="auto"/>
                <w:kern w:val="0"/>
                <w:sz w:val="21"/>
                <w:szCs w:val="21"/>
                <w:highlight w:val="none"/>
                <w:lang w:val="en-US" w:eastAsia="zh-CN"/>
              </w:rPr>
              <w:t>30</w:t>
            </w:r>
            <w:r>
              <w:rPr>
                <w:rFonts w:hint="eastAsia" w:ascii="宋体" w:hAnsi="宋体"/>
                <w:color w:val="auto"/>
                <w:kern w:val="0"/>
                <w:sz w:val="21"/>
                <w:szCs w:val="21"/>
                <w:highlight w:val="none"/>
              </w:rPr>
              <w:t>分，最低分为0分</w:t>
            </w:r>
            <w:r>
              <w:rPr>
                <w:rFonts w:hint="eastAsia"/>
                <w:color w:val="auto"/>
                <w:kern w:val="0"/>
                <w:sz w:val="21"/>
                <w:szCs w:val="21"/>
                <w:highlight w:val="none"/>
                <w:lang w:eastAsia="zh-CN"/>
              </w:rPr>
              <w:t>。</w:t>
            </w:r>
            <w:r>
              <w:rPr>
                <w:rFonts w:hint="eastAsia" w:ascii="宋体" w:hAnsi="宋体"/>
                <w:bCs/>
                <w:color w:val="auto"/>
                <w:sz w:val="21"/>
                <w:szCs w:val="21"/>
                <w:highlight w:val="none"/>
                <w:lang w:val="zh-CN"/>
              </w:rPr>
              <w:t>投标报价得分计算精确到小数点后</w:t>
            </w:r>
            <w:r>
              <w:rPr>
                <w:rFonts w:hint="eastAsia" w:ascii="宋体" w:hAnsi="宋体"/>
                <w:bCs/>
                <w:color w:val="auto"/>
                <w:sz w:val="21"/>
                <w:szCs w:val="21"/>
                <w:highlight w:val="none"/>
              </w:rPr>
              <w:t>2</w:t>
            </w:r>
            <w:r>
              <w:rPr>
                <w:rFonts w:hint="eastAsia" w:ascii="宋体" w:hAnsi="宋体"/>
                <w:bCs/>
                <w:color w:val="auto"/>
                <w:sz w:val="21"/>
                <w:szCs w:val="21"/>
                <w:highlight w:val="none"/>
                <w:lang w:val="zh-CN"/>
              </w:rPr>
              <w:t>位，第</w:t>
            </w:r>
            <w:r>
              <w:rPr>
                <w:rFonts w:hint="eastAsia" w:ascii="宋体" w:hAnsi="宋体"/>
                <w:bCs/>
                <w:color w:val="auto"/>
                <w:sz w:val="21"/>
                <w:szCs w:val="21"/>
                <w:highlight w:val="none"/>
              </w:rPr>
              <w:t>3</w:t>
            </w:r>
            <w:r>
              <w:rPr>
                <w:rFonts w:hint="eastAsia" w:ascii="宋体" w:hAnsi="宋体"/>
                <w:bCs/>
                <w:color w:val="auto"/>
                <w:sz w:val="21"/>
                <w:szCs w:val="21"/>
                <w:highlight w:val="none"/>
                <w:lang w:val="zh-CN"/>
              </w:rPr>
              <w:t>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01" w:type="dxa"/>
            <w:vMerge w:val="restart"/>
            <w:tcBorders>
              <w:tl2br w:val="nil"/>
              <w:tr2bl w:val="nil"/>
            </w:tcBorders>
            <w:vAlign w:val="center"/>
          </w:tcPr>
          <w:p>
            <w:pPr>
              <w:bidi w:val="0"/>
              <w:jc w:val="center"/>
              <w:rPr>
                <w:rFonts w:hint="eastAsia" w:eastAsia="宋体"/>
                <w:b/>
                <w:color w:val="auto"/>
                <w:sz w:val="21"/>
                <w:szCs w:val="21"/>
                <w:highlight w:val="none"/>
                <w:lang w:val="en-US" w:eastAsia="zh-CN"/>
              </w:rPr>
            </w:pPr>
            <w:r>
              <w:rPr>
                <w:rFonts w:hint="eastAsia" w:ascii="宋体" w:hAnsi="宋体" w:eastAsia="宋体" w:cs="宋体"/>
                <w:bCs/>
                <w:kern w:val="0"/>
                <w:sz w:val="21"/>
                <w:szCs w:val="21"/>
              </w:rPr>
              <w:t>资信业绩评分标准</w:t>
            </w:r>
            <w:r>
              <w:rPr>
                <w:rFonts w:hint="eastAsia" w:ascii="宋体" w:hAnsi="宋体" w:cs="宋体"/>
                <w:bCs/>
                <w:kern w:val="0"/>
                <w:sz w:val="21"/>
                <w:szCs w:val="21"/>
                <w:lang w:eastAsia="zh-CN"/>
              </w:rPr>
              <w:t>（满分</w:t>
            </w:r>
            <w:r>
              <w:rPr>
                <w:rFonts w:hint="eastAsia" w:ascii="宋体" w:hAnsi="宋体" w:cs="宋体"/>
                <w:bCs/>
                <w:kern w:val="0"/>
                <w:sz w:val="21"/>
                <w:szCs w:val="21"/>
                <w:lang w:val="en-US" w:eastAsia="zh-CN"/>
              </w:rPr>
              <w:t>30分</w:t>
            </w:r>
            <w:r>
              <w:rPr>
                <w:rFonts w:hint="eastAsia" w:ascii="宋体" w:hAnsi="宋体" w:cs="宋体"/>
                <w:bCs/>
                <w:kern w:val="0"/>
                <w:sz w:val="21"/>
                <w:szCs w:val="21"/>
                <w:lang w:eastAsia="zh-CN"/>
              </w:rPr>
              <w:t>）</w:t>
            </w:r>
          </w:p>
        </w:tc>
        <w:tc>
          <w:tcPr>
            <w:tcW w:w="1010" w:type="dxa"/>
            <w:vMerge w:val="restart"/>
            <w:tcBorders>
              <w:tl2br w:val="nil"/>
              <w:tr2bl w:val="nil"/>
            </w:tcBorders>
            <w:vAlign w:val="center"/>
          </w:tcPr>
          <w:p>
            <w:pPr>
              <w:bidi w:val="0"/>
              <w:jc w:val="center"/>
              <w:rPr>
                <w:b w:val="0"/>
                <w:bCs w:val="0"/>
                <w:color w:val="auto"/>
                <w:sz w:val="21"/>
                <w:szCs w:val="21"/>
                <w:highlight w:val="none"/>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rPr>
              <w:t>建筑专业施工单位业绩</w:t>
            </w:r>
          </w:p>
        </w:tc>
        <w:tc>
          <w:tcPr>
            <w:tcW w:w="785" w:type="dxa"/>
            <w:vMerge w:val="restart"/>
            <w:tcBorders>
              <w:tl2br w:val="nil"/>
              <w:tr2bl w:val="nil"/>
            </w:tcBorders>
          </w:tcPr>
          <w:p>
            <w:pPr>
              <w:pStyle w:val="29"/>
              <w:rPr>
                <w:color w:val="auto"/>
                <w:sz w:val="21"/>
                <w:szCs w:val="21"/>
                <w:highlight w:val="none"/>
              </w:rPr>
            </w:pPr>
          </w:p>
          <w:p>
            <w:pPr>
              <w:bidi w:val="0"/>
              <w:jc w:val="center"/>
              <w:rPr>
                <w:rFonts w:hint="eastAsia"/>
                <w:color w:val="auto"/>
                <w:sz w:val="21"/>
                <w:szCs w:val="21"/>
                <w:highlight w:val="none"/>
                <w:lang w:val="en-US" w:eastAsia="zh-CN"/>
              </w:rPr>
            </w:pPr>
          </w:p>
          <w:p>
            <w:pPr>
              <w:bidi w:val="0"/>
              <w:jc w:val="center"/>
              <w:rPr>
                <w:rFonts w:hint="eastAsia"/>
                <w:color w:val="auto"/>
                <w:sz w:val="21"/>
                <w:szCs w:val="21"/>
                <w:highlight w:val="none"/>
                <w:lang w:val="en-US" w:eastAsia="zh-CN"/>
              </w:rPr>
            </w:pPr>
          </w:p>
          <w:p>
            <w:pPr>
              <w:bidi w:val="0"/>
              <w:jc w:val="center"/>
              <w:rPr>
                <w:rFonts w:hint="eastAsia"/>
                <w:color w:val="auto"/>
                <w:sz w:val="21"/>
                <w:szCs w:val="21"/>
                <w:highlight w:val="none"/>
                <w:lang w:val="en-US" w:eastAsia="zh-CN"/>
              </w:rPr>
            </w:pPr>
          </w:p>
          <w:p>
            <w:pPr>
              <w:bidi w:val="0"/>
              <w:jc w:val="center"/>
              <w:rPr>
                <w:color w:val="auto"/>
                <w:sz w:val="21"/>
                <w:szCs w:val="21"/>
                <w:highlight w:val="none"/>
              </w:rPr>
            </w:pPr>
            <w:r>
              <w:rPr>
                <w:rFonts w:hint="eastAsia"/>
                <w:color w:val="auto"/>
                <w:sz w:val="21"/>
                <w:szCs w:val="21"/>
                <w:highlight w:val="none"/>
                <w:lang w:val="en-US" w:eastAsia="zh-CN"/>
              </w:rPr>
              <w:t>9</w:t>
            </w:r>
            <w:r>
              <w:rPr>
                <w:color w:val="auto"/>
                <w:sz w:val="21"/>
                <w:szCs w:val="21"/>
                <w:highlight w:val="none"/>
              </w:rPr>
              <w:t>分</w:t>
            </w:r>
          </w:p>
        </w:tc>
        <w:tc>
          <w:tcPr>
            <w:tcW w:w="6140" w:type="dxa"/>
            <w:tcBorders>
              <w:tl2br w:val="nil"/>
              <w:tr2bl w:val="nil"/>
            </w:tcBorders>
            <w:vAlign w:val="center"/>
          </w:tcPr>
          <w:p>
            <w:pPr>
              <w:bidi w:val="0"/>
              <w:jc w:val="center"/>
              <w:rPr>
                <w:b/>
                <w:bCs/>
                <w:color w:val="auto"/>
                <w:sz w:val="21"/>
                <w:szCs w:val="21"/>
                <w:highlight w:val="none"/>
              </w:rPr>
            </w:pPr>
            <w:r>
              <w:rPr>
                <w:b/>
                <w:bCs/>
                <w:color w:val="auto"/>
                <w:sz w:val="21"/>
                <w:szCs w:val="21"/>
                <w:highlight w:val="none"/>
              </w:rPr>
              <w:t>评审细则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1101" w:type="dxa"/>
            <w:vMerge w:val="continue"/>
            <w:tcBorders>
              <w:tl2br w:val="nil"/>
              <w:tr2bl w:val="nil"/>
            </w:tcBorders>
          </w:tcPr>
          <w:p>
            <w:pPr>
              <w:rPr>
                <w:color w:val="auto"/>
                <w:sz w:val="21"/>
                <w:szCs w:val="21"/>
                <w:highlight w:val="none"/>
              </w:rPr>
            </w:pPr>
          </w:p>
        </w:tc>
        <w:tc>
          <w:tcPr>
            <w:tcW w:w="1010" w:type="dxa"/>
            <w:vMerge w:val="continue"/>
            <w:tcBorders>
              <w:tl2br w:val="nil"/>
              <w:tr2bl w:val="nil"/>
            </w:tcBorders>
            <w:vAlign w:val="center"/>
          </w:tcPr>
          <w:p>
            <w:pPr>
              <w:rPr>
                <w:b w:val="0"/>
                <w:bCs w:val="0"/>
                <w:color w:val="auto"/>
                <w:sz w:val="21"/>
                <w:szCs w:val="21"/>
                <w:highlight w:val="none"/>
              </w:rPr>
            </w:pPr>
          </w:p>
        </w:tc>
        <w:tc>
          <w:tcPr>
            <w:tcW w:w="785" w:type="dxa"/>
            <w:vMerge w:val="continue"/>
            <w:tcBorders>
              <w:tl2br w:val="nil"/>
              <w:tr2bl w:val="nil"/>
            </w:tcBorders>
          </w:tcPr>
          <w:p>
            <w:pPr>
              <w:rPr>
                <w:color w:val="auto"/>
                <w:sz w:val="21"/>
                <w:szCs w:val="21"/>
                <w:highlight w:val="none"/>
              </w:rPr>
            </w:pPr>
          </w:p>
        </w:tc>
        <w:tc>
          <w:tcPr>
            <w:tcW w:w="6140" w:type="dxa"/>
            <w:tcBorders>
              <w:tl2br w:val="nil"/>
              <w:tr2bl w:val="nil"/>
            </w:tcBorders>
          </w:tcPr>
          <w:p>
            <w:p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自</w:t>
            </w:r>
            <w:r>
              <w:rPr>
                <w:rFonts w:hint="eastAsia" w:ascii="宋体" w:hAnsi="宋体" w:cs="宋体"/>
                <w:sz w:val="21"/>
                <w:szCs w:val="21"/>
                <w:vertAlign w:val="baseline"/>
                <w:lang w:val="en-US" w:eastAsia="zh-CN"/>
              </w:rPr>
              <w:t>2020</w:t>
            </w:r>
            <w:r>
              <w:rPr>
                <w:rFonts w:hint="eastAsia" w:ascii="宋体" w:hAnsi="宋体" w:eastAsia="宋体" w:cs="宋体"/>
                <w:sz w:val="21"/>
                <w:szCs w:val="21"/>
                <w:vertAlign w:val="baseline"/>
              </w:rPr>
              <w:t>年1月1日至投标截止日止，投标人</w:t>
            </w:r>
            <w:r>
              <w:rPr>
                <w:rFonts w:hint="eastAsia" w:ascii="宋体" w:hAnsi="宋体" w:eastAsia="宋体" w:cs="宋体"/>
                <w:sz w:val="21"/>
                <w:szCs w:val="21"/>
                <w:vertAlign w:val="baseline"/>
                <w:lang w:val="en-US" w:eastAsia="zh-CN"/>
              </w:rPr>
              <w:t>承建过合同金额≧2000万总承包</w:t>
            </w:r>
            <w:r>
              <w:rPr>
                <w:rFonts w:hint="eastAsia" w:ascii="宋体" w:hAnsi="宋体" w:eastAsia="宋体" w:cs="宋体"/>
                <w:sz w:val="21"/>
                <w:szCs w:val="21"/>
                <w:vertAlign w:val="baseline"/>
              </w:rPr>
              <w:t>业绩的。</w:t>
            </w:r>
            <w:r>
              <w:rPr>
                <w:rFonts w:hint="eastAsia" w:ascii="宋体" w:hAnsi="宋体" w:eastAsia="宋体" w:cs="宋体"/>
                <w:b/>
                <w:bCs/>
                <w:sz w:val="21"/>
                <w:szCs w:val="21"/>
                <w:vertAlign w:val="baseline"/>
              </w:rPr>
              <w:t>每个业绩得</w:t>
            </w:r>
            <w:r>
              <w:rPr>
                <w:rFonts w:hint="eastAsia" w:ascii="宋体" w:hAnsi="宋体" w:cs="宋体"/>
                <w:b/>
                <w:bCs/>
                <w:sz w:val="21"/>
                <w:szCs w:val="21"/>
                <w:vertAlign w:val="baseline"/>
                <w:lang w:val="en-US" w:eastAsia="zh-CN"/>
              </w:rPr>
              <w:t>1.5</w:t>
            </w:r>
            <w:r>
              <w:rPr>
                <w:rFonts w:hint="eastAsia" w:ascii="宋体" w:hAnsi="宋体" w:eastAsia="宋体" w:cs="宋体"/>
                <w:b/>
                <w:bCs/>
                <w:sz w:val="21"/>
                <w:szCs w:val="21"/>
                <w:vertAlign w:val="baseline"/>
              </w:rPr>
              <w:t>分。本项最高得</w:t>
            </w:r>
            <w:r>
              <w:rPr>
                <w:rFonts w:hint="eastAsia" w:ascii="宋体" w:hAnsi="宋体" w:cs="宋体"/>
                <w:b/>
                <w:bCs/>
                <w:sz w:val="21"/>
                <w:szCs w:val="21"/>
                <w:vertAlign w:val="baseline"/>
                <w:lang w:val="en-US" w:eastAsia="zh-CN"/>
              </w:rPr>
              <w:t>9</w:t>
            </w:r>
            <w:r>
              <w:rPr>
                <w:rFonts w:hint="eastAsia" w:ascii="宋体" w:hAnsi="宋体" w:eastAsia="宋体" w:cs="宋体"/>
                <w:b/>
                <w:bCs/>
                <w:sz w:val="21"/>
                <w:szCs w:val="21"/>
                <w:vertAlign w:val="baseline"/>
              </w:rPr>
              <w:t>分</w:t>
            </w:r>
            <w:r>
              <w:rPr>
                <w:rFonts w:hint="eastAsia" w:ascii="宋体" w:hAnsi="宋体" w:eastAsia="宋体" w:cs="宋体"/>
                <w:sz w:val="21"/>
                <w:szCs w:val="21"/>
                <w:vertAlign w:val="baseline"/>
              </w:rPr>
              <w:t>。</w:t>
            </w:r>
          </w:p>
          <w:p>
            <w:pPr>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rPr>
              <w:t>①时间以合同签订时间为准。若为EPC 工程，投标人须在项目实施中担任施工方。</w:t>
            </w:r>
          </w:p>
          <w:p>
            <w:pPr>
              <w:spacing w:line="410" w:lineRule="exact"/>
              <w:rPr>
                <w:color w:val="auto"/>
                <w:sz w:val="21"/>
                <w:szCs w:val="21"/>
                <w:highlight w:val="none"/>
              </w:rPr>
            </w:pPr>
            <w:r>
              <w:rPr>
                <w:rFonts w:hint="eastAsia" w:ascii="宋体" w:hAnsi="宋体" w:eastAsia="宋体" w:cs="宋体"/>
                <w:sz w:val="21"/>
                <w:szCs w:val="21"/>
                <w:vertAlign w:val="baseline"/>
              </w:rPr>
              <w:t>②须提供中标通知书、合同关键页作证明材料</w:t>
            </w:r>
            <w:r>
              <w:rPr>
                <w:rFonts w:hint="eastAsia" w:ascii="宋体" w:hAnsi="宋体" w:eastAsia="宋体" w:cs="宋体"/>
                <w:sz w:val="21"/>
                <w:szCs w:val="21"/>
                <w:vertAlign w:val="baseline"/>
                <w:lang w:val="en-US" w:eastAsia="zh-CN"/>
              </w:rPr>
              <w:t>截图</w:t>
            </w:r>
            <w:r>
              <w:rPr>
                <w:rFonts w:hint="eastAsia" w:ascii="宋体" w:hAnsi="宋体" w:eastAsia="宋体" w:cs="宋体"/>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1101" w:type="dxa"/>
            <w:vMerge w:val="continue"/>
            <w:tcBorders>
              <w:tl2br w:val="nil"/>
              <w:tr2bl w:val="nil"/>
            </w:tcBorders>
          </w:tcPr>
          <w:p>
            <w:pPr>
              <w:rPr>
                <w:color w:val="auto"/>
                <w:sz w:val="21"/>
                <w:szCs w:val="21"/>
                <w:highlight w:val="none"/>
              </w:rPr>
            </w:pPr>
          </w:p>
        </w:tc>
        <w:tc>
          <w:tcPr>
            <w:tcW w:w="1010" w:type="dxa"/>
            <w:tcBorders>
              <w:tl2br w:val="nil"/>
              <w:tr2bl w:val="nil"/>
            </w:tcBorders>
            <w:vAlign w:val="center"/>
          </w:tcPr>
          <w:p>
            <w:pPr>
              <w:bidi w:val="0"/>
              <w:jc w:val="center"/>
              <w:rPr>
                <w:b w:val="0"/>
                <w:bCs w:val="0"/>
                <w:color w:val="auto"/>
                <w:sz w:val="21"/>
                <w:szCs w:val="21"/>
                <w:highlight w:val="none"/>
              </w:rPr>
            </w:pPr>
            <w:r>
              <w:rPr>
                <w:rFonts w:hint="eastAsia" w:ascii="宋体" w:hAnsi="宋体" w:eastAsia="宋体" w:cs="宋体"/>
                <w:b w:val="0"/>
                <w:bCs w:val="0"/>
                <w:sz w:val="21"/>
                <w:szCs w:val="21"/>
                <w:vertAlign w:val="baseline"/>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rPr>
              <w:t>建筑专业施工单位荣誉</w:t>
            </w:r>
          </w:p>
        </w:tc>
        <w:tc>
          <w:tcPr>
            <w:tcW w:w="785" w:type="dxa"/>
            <w:tcBorders>
              <w:tl2br w:val="nil"/>
              <w:tr2bl w:val="nil"/>
            </w:tcBorders>
            <w:vAlign w:val="center"/>
          </w:tcPr>
          <w:p>
            <w:pPr>
              <w:bidi w:val="0"/>
              <w:jc w:val="center"/>
              <w:rPr>
                <w:color w:val="auto"/>
                <w:sz w:val="21"/>
                <w:szCs w:val="21"/>
                <w:highlight w:val="none"/>
              </w:rPr>
            </w:pPr>
            <w:r>
              <w:rPr>
                <w:rFonts w:hint="eastAsia"/>
                <w:color w:val="auto"/>
                <w:sz w:val="21"/>
                <w:szCs w:val="21"/>
                <w:highlight w:val="none"/>
                <w:lang w:val="en-US" w:eastAsia="zh-CN"/>
              </w:rPr>
              <w:t>21</w:t>
            </w:r>
            <w:r>
              <w:rPr>
                <w:color w:val="auto"/>
                <w:sz w:val="21"/>
                <w:szCs w:val="21"/>
                <w:highlight w:val="none"/>
              </w:rPr>
              <w:t xml:space="preserve"> 分</w:t>
            </w:r>
          </w:p>
        </w:tc>
        <w:tc>
          <w:tcPr>
            <w:tcW w:w="6140" w:type="dxa"/>
            <w:tcBorders>
              <w:tl2br w:val="nil"/>
              <w:tr2bl w:val="nil"/>
            </w:tcBorders>
          </w:tcPr>
          <w:p>
            <w:pPr>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自20</w:t>
            </w:r>
            <w:r>
              <w:rPr>
                <w:rFonts w:hint="eastAsia" w:ascii="宋体" w:hAnsi="宋体" w:eastAsia="宋体" w:cs="宋体"/>
                <w:sz w:val="21"/>
                <w:szCs w:val="21"/>
                <w:vertAlign w:val="baseline"/>
                <w:lang w:val="en-US" w:eastAsia="zh-CN"/>
              </w:rPr>
              <w:t>20</w:t>
            </w:r>
            <w:r>
              <w:rPr>
                <w:rFonts w:hint="eastAsia" w:ascii="宋体" w:hAnsi="宋体" w:eastAsia="宋体" w:cs="宋体"/>
                <w:sz w:val="21"/>
                <w:szCs w:val="21"/>
                <w:vertAlign w:val="baseline"/>
              </w:rPr>
              <w:t>年1月1日至投标截止日止，投标人曾获得过建设行政主管部门或同级协会颁发的“先进单位”称号的，</w:t>
            </w:r>
            <w:r>
              <w:rPr>
                <w:rFonts w:hint="eastAsia" w:ascii="宋体" w:hAnsi="宋体" w:eastAsia="宋体" w:cs="宋体"/>
                <w:b/>
                <w:bCs/>
                <w:sz w:val="21"/>
                <w:szCs w:val="21"/>
                <w:vertAlign w:val="baseline"/>
              </w:rPr>
              <w:t>得</w:t>
            </w:r>
            <w:r>
              <w:rPr>
                <w:rFonts w:hint="eastAsia" w:ascii="宋体" w:hAnsi="宋体" w:cs="宋体"/>
                <w:b/>
                <w:bCs/>
                <w:sz w:val="21"/>
                <w:szCs w:val="21"/>
                <w:vertAlign w:val="baseline"/>
                <w:lang w:val="en-US" w:eastAsia="zh-CN"/>
              </w:rPr>
              <w:t>3</w:t>
            </w:r>
            <w:r>
              <w:rPr>
                <w:rFonts w:hint="eastAsia" w:ascii="宋体" w:hAnsi="宋体" w:eastAsia="宋体" w:cs="宋体"/>
                <w:b/>
                <w:bCs/>
                <w:sz w:val="21"/>
                <w:szCs w:val="21"/>
                <w:vertAlign w:val="baseline"/>
              </w:rPr>
              <w:t>分，本项最高得</w:t>
            </w:r>
            <w:r>
              <w:rPr>
                <w:rFonts w:hint="eastAsia" w:ascii="宋体" w:hAnsi="宋体" w:cs="宋体"/>
                <w:b/>
                <w:bCs/>
                <w:sz w:val="21"/>
                <w:szCs w:val="21"/>
                <w:vertAlign w:val="baseline"/>
                <w:lang w:val="en-US" w:eastAsia="zh-CN"/>
              </w:rPr>
              <w:t>6</w:t>
            </w:r>
            <w:r>
              <w:rPr>
                <w:rFonts w:hint="eastAsia" w:ascii="宋体" w:hAnsi="宋体" w:eastAsia="宋体" w:cs="宋体"/>
                <w:b/>
                <w:bCs/>
                <w:sz w:val="21"/>
                <w:szCs w:val="21"/>
                <w:vertAlign w:val="baseline"/>
              </w:rPr>
              <w:t>分</w:t>
            </w:r>
            <w:r>
              <w:rPr>
                <w:rFonts w:hint="eastAsia" w:ascii="宋体" w:hAnsi="宋体" w:eastAsia="宋体" w:cs="宋体"/>
                <w:sz w:val="21"/>
                <w:szCs w:val="21"/>
                <w:vertAlign w:val="baseline"/>
              </w:rPr>
              <w:t>。</w:t>
            </w:r>
          </w:p>
          <w:p>
            <w:pPr>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注:时间以获奖证书发证日期为准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zh-CN"/>
              </w:rPr>
              <w:t>投标人须提供相关证书复印件作证明材料</w:t>
            </w:r>
            <w:r>
              <w:rPr>
                <w:rFonts w:hint="eastAsia" w:ascii="宋体" w:hAnsi="宋体" w:eastAsia="宋体" w:cs="宋体"/>
                <w:sz w:val="21"/>
                <w:szCs w:val="21"/>
                <w:vertAlign w:val="baseline"/>
              </w:rPr>
              <w:t>。</w:t>
            </w:r>
          </w:p>
          <w:p>
            <w:pPr>
              <w:spacing w:line="360" w:lineRule="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rPr>
              <w:t>投标人获得AAA级“企业信用等级证书”的得</w:t>
            </w: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rPr>
              <w:t>分;获AA级“企业信用等级证书”得</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rPr>
              <w:t>分:获A级“企业信用等级证书”得</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rPr>
              <w:t>分</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人获得</w:t>
            </w:r>
            <w:r>
              <w:rPr>
                <w:rFonts w:hint="eastAsia" w:ascii="宋体" w:hAnsi="宋体" w:eastAsia="宋体" w:cs="宋体"/>
                <w:sz w:val="21"/>
                <w:szCs w:val="21"/>
                <w:vertAlign w:val="baseline"/>
                <w:lang w:val="en-US" w:eastAsia="zh-CN"/>
              </w:rPr>
              <w:t>BBB</w:t>
            </w:r>
            <w:r>
              <w:rPr>
                <w:rFonts w:hint="eastAsia" w:ascii="宋体" w:hAnsi="宋体" w:eastAsia="宋体" w:cs="宋体"/>
                <w:sz w:val="21"/>
                <w:szCs w:val="21"/>
                <w:vertAlign w:val="baseline"/>
              </w:rPr>
              <w:t>级“企业信用等级证书”的得</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rPr>
              <w:t>分;获</w:t>
            </w:r>
            <w:r>
              <w:rPr>
                <w:rFonts w:hint="eastAsia" w:ascii="宋体" w:hAnsi="宋体" w:eastAsia="宋体" w:cs="宋体"/>
                <w:sz w:val="21"/>
                <w:szCs w:val="21"/>
                <w:vertAlign w:val="baseline"/>
                <w:lang w:val="en-US" w:eastAsia="zh-CN"/>
              </w:rPr>
              <w:t>BB</w:t>
            </w:r>
            <w:r>
              <w:rPr>
                <w:rFonts w:hint="eastAsia" w:ascii="宋体" w:hAnsi="宋体" w:eastAsia="宋体" w:cs="宋体"/>
                <w:sz w:val="21"/>
                <w:szCs w:val="21"/>
                <w:vertAlign w:val="baseline"/>
              </w:rPr>
              <w:t>级“企业信用等级证书”得</w:t>
            </w: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rPr>
              <w:t>分:获</w:t>
            </w:r>
            <w:r>
              <w:rPr>
                <w:rFonts w:hint="eastAsia" w:ascii="宋体" w:hAnsi="宋体" w:eastAsia="宋体" w:cs="宋体"/>
                <w:sz w:val="21"/>
                <w:szCs w:val="21"/>
                <w:vertAlign w:val="baseline"/>
                <w:lang w:val="en-US" w:eastAsia="zh-CN"/>
              </w:rPr>
              <w:t>B</w:t>
            </w:r>
            <w:r>
              <w:rPr>
                <w:rFonts w:hint="eastAsia" w:ascii="宋体" w:hAnsi="宋体" w:eastAsia="宋体" w:cs="宋体"/>
                <w:sz w:val="21"/>
                <w:szCs w:val="21"/>
                <w:vertAlign w:val="baseline"/>
              </w:rPr>
              <w:t>级“企业信用等级证书”得</w:t>
            </w:r>
            <w:r>
              <w:rPr>
                <w:rFonts w:hint="eastAsia" w:ascii="宋体" w:hAnsi="宋体" w:cs="宋体"/>
                <w:sz w:val="21"/>
                <w:szCs w:val="21"/>
                <w:vertAlign w:val="baseline"/>
                <w:lang w:val="en-US" w:eastAsia="zh-CN"/>
              </w:rPr>
              <w:t>1</w:t>
            </w:r>
            <w:r>
              <w:rPr>
                <w:rFonts w:hint="eastAsia" w:ascii="宋体" w:hAnsi="宋体" w:eastAsia="宋体" w:cs="宋体"/>
                <w:sz w:val="21"/>
                <w:szCs w:val="21"/>
                <w:vertAlign w:val="baseline"/>
              </w:rPr>
              <w:t>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没有的不得分。</w:t>
            </w:r>
            <w:r>
              <w:rPr>
                <w:rFonts w:hint="eastAsia" w:ascii="宋体" w:hAnsi="宋体" w:eastAsia="宋体" w:cs="宋体"/>
                <w:b/>
                <w:bCs/>
                <w:sz w:val="21"/>
                <w:szCs w:val="21"/>
                <w:vertAlign w:val="baseline"/>
              </w:rPr>
              <w:t>本项最高得</w:t>
            </w:r>
            <w:r>
              <w:rPr>
                <w:rFonts w:hint="eastAsia" w:ascii="宋体" w:hAnsi="宋体" w:cs="宋体"/>
                <w:b/>
                <w:bCs/>
                <w:sz w:val="21"/>
                <w:szCs w:val="21"/>
                <w:vertAlign w:val="baseline"/>
                <w:lang w:val="en-US" w:eastAsia="zh-CN"/>
              </w:rPr>
              <w:t>6</w:t>
            </w:r>
            <w:r>
              <w:rPr>
                <w:rFonts w:hint="eastAsia" w:ascii="宋体" w:hAnsi="宋体" w:eastAsia="宋体" w:cs="宋体"/>
                <w:b/>
                <w:bCs/>
                <w:sz w:val="21"/>
                <w:szCs w:val="21"/>
                <w:vertAlign w:val="baseline"/>
              </w:rPr>
              <w:t>分</w:t>
            </w:r>
            <w:r>
              <w:rPr>
                <w:rFonts w:hint="eastAsia" w:ascii="宋体" w:hAnsi="宋体" w:eastAsia="宋体" w:cs="宋体"/>
                <w:sz w:val="21"/>
                <w:szCs w:val="21"/>
                <w:vertAlign w:val="baseline"/>
              </w:rPr>
              <w:t>。</w:t>
            </w:r>
          </w:p>
          <w:p>
            <w:pPr>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注:</w:t>
            </w:r>
            <w:r>
              <w:rPr>
                <w:rFonts w:hint="eastAsia" w:ascii="宋体" w:hAnsi="宋体" w:eastAsia="宋体" w:cs="宋体"/>
                <w:sz w:val="21"/>
                <w:szCs w:val="21"/>
                <w:vertAlign w:val="baseline"/>
                <w:lang w:val="zh-CN"/>
              </w:rPr>
              <w:t>投标人须提供相关证书复印件作证明材料</w:t>
            </w:r>
            <w:r>
              <w:rPr>
                <w:rFonts w:hint="eastAsia" w:ascii="宋体" w:hAnsi="宋体" w:eastAsia="宋体" w:cs="宋体"/>
                <w:sz w:val="21"/>
                <w:szCs w:val="21"/>
                <w:vertAlign w:val="baseline"/>
              </w:rPr>
              <w:t>。</w:t>
            </w:r>
          </w:p>
          <w:p>
            <w:pPr>
              <w:numPr>
                <w:ilvl w:val="0"/>
                <w:numId w:val="23"/>
              </w:numPr>
              <w:spacing w:line="36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投标人获得有效期内</w:t>
            </w:r>
            <w:r>
              <w:rPr>
                <w:rFonts w:hint="eastAsia" w:ascii="宋体" w:hAnsi="宋体" w:cs="宋体"/>
                <w:sz w:val="21"/>
                <w:szCs w:val="21"/>
                <w:vertAlign w:val="baseline"/>
                <w:lang w:val="en-US" w:eastAsia="zh-CN"/>
              </w:rPr>
              <w:t>并通过年审的</w:t>
            </w:r>
            <w:r>
              <w:rPr>
                <w:rFonts w:hint="eastAsia" w:ascii="宋体" w:hAnsi="宋体" w:eastAsia="宋体" w:cs="宋体"/>
                <w:sz w:val="21"/>
                <w:szCs w:val="21"/>
                <w:vertAlign w:val="baseline"/>
              </w:rPr>
              <w:t>质量管理体系认证证书（ISO）</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环境管理体系认证证书（ISO）</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职业健康安全管理体系认证证书（ISO），</w:t>
            </w:r>
            <w:r>
              <w:rPr>
                <w:rFonts w:hint="eastAsia" w:ascii="宋体" w:hAnsi="宋体" w:cs="宋体"/>
                <w:sz w:val="21"/>
                <w:szCs w:val="21"/>
                <w:vertAlign w:val="baseline"/>
                <w:lang w:val="en-US" w:eastAsia="zh-CN"/>
              </w:rPr>
              <w:t>每提供一份</w:t>
            </w:r>
            <w:r>
              <w:rPr>
                <w:rFonts w:hint="eastAsia" w:ascii="宋体" w:hAnsi="宋体" w:eastAsia="宋体" w:cs="宋体"/>
                <w:sz w:val="21"/>
                <w:szCs w:val="21"/>
                <w:vertAlign w:val="baseline"/>
              </w:rPr>
              <w:t>得</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rPr>
              <w:t>分。</w:t>
            </w:r>
            <w:r>
              <w:rPr>
                <w:rFonts w:hint="eastAsia" w:ascii="宋体" w:hAnsi="宋体" w:cs="宋体"/>
                <w:sz w:val="21"/>
                <w:szCs w:val="21"/>
                <w:vertAlign w:val="baseline"/>
                <w:lang w:val="en-US" w:eastAsia="zh-CN"/>
              </w:rPr>
              <w:t>没有提供的不得分</w:t>
            </w:r>
            <w:r>
              <w:rPr>
                <w:rFonts w:hint="eastAsia" w:ascii="宋体" w:hAnsi="宋体" w:eastAsia="宋体" w:cs="宋体"/>
                <w:sz w:val="21"/>
                <w:szCs w:val="21"/>
                <w:vertAlign w:val="baseline"/>
              </w:rPr>
              <w:t>。</w:t>
            </w:r>
            <w:r>
              <w:rPr>
                <w:rFonts w:hint="eastAsia" w:ascii="宋体" w:hAnsi="宋体" w:eastAsia="宋体" w:cs="宋体"/>
                <w:b/>
                <w:bCs/>
                <w:sz w:val="21"/>
                <w:szCs w:val="21"/>
                <w:vertAlign w:val="baseline"/>
              </w:rPr>
              <w:t>本项最高得</w:t>
            </w:r>
            <w:r>
              <w:rPr>
                <w:rFonts w:hint="eastAsia" w:ascii="宋体" w:hAnsi="宋体" w:cs="宋体"/>
                <w:b/>
                <w:bCs/>
                <w:sz w:val="21"/>
                <w:szCs w:val="21"/>
                <w:vertAlign w:val="baseline"/>
                <w:lang w:val="en-US" w:eastAsia="zh-CN"/>
              </w:rPr>
              <w:t>9</w:t>
            </w:r>
            <w:r>
              <w:rPr>
                <w:rFonts w:hint="eastAsia" w:ascii="宋体" w:hAnsi="宋体" w:eastAsia="宋体" w:cs="宋体"/>
                <w:b/>
                <w:bCs/>
                <w:sz w:val="21"/>
                <w:szCs w:val="21"/>
                <w:vertAlign w:val="baseline"/>
              </w:rPr>
              <w:t>分</w:t>
            </w:r>
            <w:r>
              <w:rPr>
                <w:rFonts w:hint="eastAsia" w:ascii="宋体" w:hAnsi="宋体" w:eastAsia="宋体" w:cs="宋体"/>
                <w:sz w:val="21"/>
                <w:szCs w:val="21"/>
                <w:vertAlign w:val="baseline"/>
              </w:rPr>
              <w:t>。</w:t>
            </w:r>
          </w:p>
          <w:p>
            <w:pPr>
              <w:pStyle w:val="29"/>
              <w:spacing w:before="91" w:line="360" w:lineRule="auto"/>
              <w:ind w:left="145" w:right="136"/>
              <w:jc w:val="both"/>
              <w:rPr>
                <w:color w:val="auto"/>
                <w:sz w:val="21"/>
                <w:szCs w:val="21"/>
                <w:highlight w:val="none"/>
              </w:rPr>
            </w:pPr>
            <w:r>
              <w:rPr>
                <w:rFonts w:hint="eastAsia" w:ascii="宋体" w:hAnsi="宋体" w:eastAsia="宋体" w:cs="宋体"/>
                <w:sz w:val="21"/>
                <w:szCs w:val="21"/>
                <w:vertAlign w:val="baseline"/>
              </w:rPr>
              <w:t>注</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lang w:val="zh-CN"/>
              </w:rPr>
              <w:t>投标人须提供相关证书复印件作证明材料</w:t>
            </w:r>
            <w:r>
              <w:rPr>
                <w:rFonts w:hint="eastAsia" w:ascii="宋体" w:hAnsi="宋体" w:eastAsia="宋体" w:cs="宋体"/>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restart"/>
            <w:tcBorders>
              <w:tl2br w:val="nil"/>
              <w:tr2bl w:val="nil"/>
            </w:tcBorders>
            <w:vAlign w:val="center"/>
          </w:tcPr>
          <w:p>
            <w:pPr>
              <w:rPr>
                <w:color w:val="auto"/>
                <w:sz w:val="21"/>
                <w:szCs w:val="21"/>
                <w:highlight w:val="none"/>
              </w:rPr>
            </w:pPr>
            <w:r>
              <w:rPr>
                <w:rFonts w:hint="eastAsia" w:ascii="宋体" w:hAnsi="宋体"/>
                <w:bCs/>
                <w:kern w:val="0"/>
                <w:sz w:val="21"/>
                <w:szCs w:val="21"/>
              </w:rPr>
              <w:t>实施方案评分标准</w:t>
            </w:r>
            <w:r>
              <w:rPr>
                <w:rFonts w:hint="eastAsia" w:ascii="宋体" w:hAnsi="宋体"/>
                <w:bCs/>
                <w:kern w:val="0"/>
                <w:sz w:val="21"/>
                <w:szCs w:val="21"/>
                <w:lang w:eastAsia="zh-CN"/>
              </w:rPr>
              <w:t>（</w:t>
            </w:r>
            <w:r>
              <w:rPr>
                <w:rFonts w:hint="eastAsia" w:ascii="宋体" w:hAnsi="宋体"/>
                <w:bCs/>
                <w:kern w:val="0"/>
                <w:sz w:val="21"/>
                <w:szCs w:val="21"/>
                <w:lang w:val="en-US" w:eastAsia="zh-CN"/>
              </w:rPr>
              <w:t>满分40分</w:t>
            </w:r>
            <w:r>
              <w:rPr>
                <w:rFonts w:hint="eastAsia" w:ascii="宋体" w:hAnsi="宋体"/>
                <w:bCs/>
                <w:kern w:val="0"/>
                <w:sz w:val="21"/>
                <w:szCs w:val="21"/>
                <w:lang w:eastAsia="zh-CN"/>
              </w:rPr>
              <w:t>）</w:t>
            </w:r>
          </w:p>
        </w:tc>
        <w:tc>
          <w:tcPr>
            <w:tcW w:w="1010" w:type="dxa"/>
            <w:tcBorders>
              <w:tl2br w:val="nil"/>
              <w:tr2bl w:val="nil"/>
            </w:tcBorders>
            <w:vAlign w:val="center"/>
          </w:tcPr>
          <w:p>
            <w:pPr>
              <w:bidi w:val="0"/>
              <w:jc w:val="center"/>
              <w:rPr>
                <w:rFonts w:hint="eastAsia" w:ascii="宋体" w:hAnsi="宋体" w:eastAsia="宋体" w:cs="宋体"/>
                <w:b w:val="0"/>
                <w:bCs w:val="0"/>
                <w:sz w:val="21"/>
                <w:szCs w:val="21"/>
                <w:vertAlign w:val="baseline"/>
              </w:rPr>
            </w:pPr>
            <w:r>
              <w:rPr>
                <w:rFonts w:hint="eastAsia" w:ascii="宋体" w:hAnsi="宋体" w:eastAsia="宋体" w:cs="宋体"/>
                <w:sz w:val="21"/>
                <w:szCs w:val="21"/>
                <w:vertAlign w:val="baseline"/>
                <w:lang w:val="en-US" w:eastAsia="zh-CN"/>
              </w:rPr>
              <w:t>1.项目组织机构及施工方案</w:t>
            </w:r>
          </w:p>
        </w:tc>
        <w:tc>
          <w:tcPr>
            <w:tcW w:w="785" w:type="dxa"/>
            <w:tcBorders>
              <w:tl2br w:val="nil"/>
              <w:tr2bl w:val="nil"/>
            </w:tcBorders>
            <w:vAlign w:val="center"/>
          </w:tcPr>
          <w:p>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14</w:t>
            </w:r>
            <w:r>
              <w:rPr>
                <w:color w:val="auto"/>
                <w:sz w:val="21"/>
                <w:szCs w:val="21"/>
                <w:highlight w:val="none"/>
              </w:rPr>
              <w:t>分</w:t>
            </w:r>
          </w:p>
        </w:tc>
        <w:tc>
          <w:tcPr>
            <w:tcW w:w="6140" w:type="dxa"/>
            <w:tcBorders>
              <w:tl2br w:val="nil"/>
              <w:tr2bl w:val="nil"/>
            </w:tcBorders>
          </w:tcPr>
          <w:p>
            <w:pPr>
              <w:numPr>
                <w:ilvl w:val="0"/>
                <w:numId w:val="0"/>
              </w:numPr>
              <w:spacing w:line="360" w:lineRule="auto"/>
              <w:ind w:left="0" w:leftChars="0" w:firstLine="0"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根据投标人对项目组织机构、施工方案的针对性、具体性、合理性、可行性予以评分。措施为优得14分；良得9分；差得4分；无措施得0分。</w:t>
            </w:r>
            <w:r>
              <w:rPr>
                <w:rFonts w:hint="eastAsia" w:ascii="宋体" w:hAnsi="宋体" w:eastAsia="宋体" w:cs="宋体"/>
                <w:b/>
                <w:bCs/>
                <w:sz w:val="21"/>
                <w:szCs w:val="21"/>
                <w:vertAlign w:val="baseline"/>
                <w:lang w:val="en-US" w:eastAsia="zh-CN"/>
              </w:rPr>
              <w:t>本项最高可得14分</w:t>
            </w:r>
            <w:r>
              <w:rPr>
                <w:rFonts w:hint="eastAsia" w:ascii="宋体" w:hAnsi="宋体" w:eastAsia="宋体" w:cs="宋体"/>
                <w:sz w:val="21"/>
                <w:szCs w:val="21"/>
                <w:vertAlign w:val="baseli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101" w:type="dxa"/>
            <w:vMerge w:val="continue"/>
            <w:tcBorders>
              <w:tl2br w:val="nil"/>
              <w:tr2bl w:val="nil"/>
            </w:tcBorders>
          </w:tcPr>
          <w:p>
            <w:pPr>
              <w:rPr>
                <w:color w:val="auto"/>
                <w:sz w:val="21"/>
                <w:szCs w:val="21"/>
                <w:highlight w:val="none"/>
              </w:rPr>
            </w:pPr>
          </w:p>
        </w:tc>
        <w:tc>
          <w:tcPr>
            <w:tcW w:w="1010" w:type="dxa"/>
            <w:tcBorders>
              <w:tl2br w:val="nil"/>
              <w:tr2bl w:val="nil"/>
            </w:tcBorders>
            <w:vAlign w:val="center"/>
          </w:tcPr>
          <w:p>
            <w:pPr>
              <w:bidi w:val="0"/>
              <w:jc w:val="center"/>
              <w:rPr>
                <w:rFonts w:hint="eastAsia" w:ascii="宋体" w:hAnsi="宋体" w:eastAsia="宋体" w:cs="宋体"/>
                <w:b w:val="0"/>
                <w:bCs w:val="0"/>
                <w:sz w:val="21"/>
                <w:szCs w:val="21"/>
                <w:vertAlign w:val="baseline"/>
              </w:rPr>
            </w:pPr>
            <w:r>
              <w:rPr>
                <w:rFonts w:hint="eastAsia" w:ascii="宋体" w:hAnsi="宋体" w:eastAsia="宋体" w:cs="宋体"/>
                <w:sz w:val="21"/>
                <w:szCs w:val="21"/>
                <w:vertAlign w:val="baseline"/>
                <w:lang w:val="en-US" w:eastAsia="zh-CN"/>
              </w:rPr>
              <w:t>2.施工进度计划和保证措施</w:t>
            </w:r>
          </w:p>
        </w:tc>
        <w:tc>
          <w:tcPr>
            <w:tcW w:w="785" w:type="dxa"/>
            <w:tcBorders>
              <w:tl2br w:val="nil"/>
              <w:tr2bl w:val="nil"/>
            </w:tcBorders>
            <w:vAlign w:val="center"/>
          </w:tcPr>
          <w:p>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13</w:t>
            </w:r>
            <w:r>
              <w:rPr>
                <w:color w:val="auto"/>
                <w:sz w:val="21"/>
                <w:szCs w:val="21"/>
                <w:highlight w:val="none"/>
              </w:rPr>
              <w:t>分</w:t>
            </w:r>
          </w:p>
        </w:tc>
        <w:tc>
          <w:tcPr>
            <w:tcW w:w="6140" w:type="dxa"/>
            <w:tcBorders>
              <w:tl2br w:val="nil"/>
              <w:tr2bl w:val="nil"/>
            </w:tcBorders>
          </w:tcPr>
          <w:p>
            <w:pPr>
              <w:numPr>
                <w:ilvl w:val="0"/>
                <w:numId w:val="0"/>
              </w:numPr>
              <w:spacing w:line="360" w:lineRule="auto"/>
              <w:ind w:left="0" w:leftChars="0" w:firstLine="0"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根据投标人施工进度计划和保证措施的针对性、具体性、合理性、可行性予以评分，措施为优得13分；良得8分；差得3分；无措施得0分。</w:t>
            </w:r>
            <w:r>
              <w:rPr>
                <w:rFonts w:hint="eastAsia" w:ascii="宋体" w:hAnsi="宋体" w:eastAsia="宋体" w:cs="宋体"/>
                <w:b/>
                <w:bCs/>
                <w:sz w:val="21"/>
                <w:szCs w:val="21"/>
                <w:vertAlign w:val="baseline"/>
                <w:lang w:val="en-US" w:eastAsia="zh-CN"/>
              </w:rPr>
              <w:t>本项最高可得13分</w:t>
            </w:r>
            <w:r>
              <w:rPr>
                <w:rFonts w:hint="eastAsia" w:ascii="宋体" w:hAnsi="宋体" w:eastAsia="宋体" w:cs="宋体"/>
                <w:sz w:val="21"/>
                <w:szCs w:val="21"/>
                <w:vertAlign w:val="baseli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1101" w:type="dxa"/>
            <w:vMerge w:val="continue"/>
            <w:tcBorders>
              <w:tl2br w:val="nil"/>
              <w:tr2bl w:val="nil"/>
            </w:tcBorders>
          </w:tcPr>
          <w:p>
            <w:pPr>
              <w:rPr>
                <w:color w:val="auto"/>
                <w:sz w:val="21"/>
                <w:szCs w:val="21"/>
                <w:highlight w:val="none"/>
              </w:rPr>
            </w:pPr>
          </w:p>
        </w:tc>
        <w:tc>
          <w:tcPr>
            <w:tcW w:w="1010" w:type="dxa"/>
            <w:tcBorders>
              <w:tl2br w:val="nil"/>
              <w:tr2bl w:val="nil"/>
            </w:tcBorders>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3.安全、文明施工、环保措施、质量保证措施</w:t>
            </w:r>
          </w:p>
        </w:tc>
        <w:tc>
          <w:tcPr>
            <w:tcW w:w="785" w:type="dxa"/>
            <w:tcBorders>
              <w:tl2br w:val="nil"/>
              <w:tr2bl w:val="nil"/>
            </w:tcBorders>
            <w:vAlign w:val="center"/>
          </w:tcPr>
          <w:p>
            <w:pPr>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13</w:t>
            </w:r>
            <w:r>
              <w:rPr>
                <w:color w:val="auto"/>
                <w:sz w:val="21"/>
                <w:szCs w:val="21"/>
                <w:highlight w:val="none"/>
              </w:rPr>
              <w:t>分</w:t>
            </w:r>
          </w:p>
        </w:tc>
        <w:tc>
          <w:tcPr>
            <w:tcW w:w="6140" w:type="dxa"/>
            <w:tcBorders>
              <w:tl2br w:val="nil"/>
              <w:tr2bl w:val="nil"/>
            </w:tcBorders>
          </w:tcPr>
          <w:p>
            <w:pPr>
              <w:pStyle w:val="29"/>
              <w:spacing w:before="91" w:line="360" w:lineRule="auto"/>
              <w:ind w:left="145" w:right="136"/>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根据投标人安全、文明施工、环保措施、质量保证措施的针对性、具体性、合理性、可行性予以评分，措施为优得13分；良得8分；差得3分；无措施得0分。</w:t>
            </w:r>
            <w:r>
              <w:rPr>
                <w:rFonts w:hint="eastAsia" w:ascii="宋体" w:hAnsi="宋体" w:eastAsia="宋体" w:cs="宋体"/>
                <w:b/>
                <w:bCs/>
                <w:sz w:val="21"/>
                <w:szCs w:val="21"/>
                <w:vertAlign w:val="baseline"/>
                <w:lang w:val="en-US" w:eastAsia="zh-CN"/>
              </w:rPr>
              <w:t>本项最高可得13分</w:t>
            </w:r>
            <w:r>
              <w:rPr>
                <w:rFonts w:hint="eastAsia" w:ascii="宋体" w:hAnsi="宋体" w:eastAsia="宋体" w:cs="宋体"/>
                <w:sz w:val="21"/>
                <w:szCs w:val="21"/>
                <w:vertAlign w:val="baseline"/>
                <w:lang w:val="en-US" w:eastAsia="zh-CN"/>
              </w:rPr>
              <w:t>。</w:t>
            </w:r>
          </w:p>
        </w:tc>
      </w:tr>
    </w:tbl>
    <w:p>
      <w:pPr>
        <w:spacing w:before="99" w:line="417" w:lineRule="auto"/>
        <w:ind w:left="671" w:right="921" w:firstLine="420"/>
        <w:jc w:val="both"/>
        <w:rPr>
          <w:b/>
          <w:color w:val="auto"/>
          <w:sz w:val="21"/>
          <w:highlight w:val="none"/>
        </w:rPr>
      </w:pPr>
      <w:r>
        <w:rPr>
          <w:b/>
          <w:color w:val="auto"/>
          <w:sz w:val="21"/>
          <w:highlight w:val="none"/>
        </w:rPr>
        <w:t xml:space="preserve">评分说明:各评分内容得分以评标委员会各成员的打分的平均值确定,平均值保留小数点后 </w:t>
      </w:r>
      <w:r>
        <w:rPr>
          <w:b/>
          <w:color w:val="auto"/>
          <w:spacing w:val="-2"/>
          <w:sz w:val="21"/>
          <w:highlight w:val="none"/>
        </w:rPr>
        <w:t>两位，第三位四舍五入。</w:t>
      </w:r>
    </w:p>
    <w:p>
      <w:pPr>
        <w:pStyle w:val="28"/>
        <w:numPr>
          <w:ilvl w:val="2"/>
          <w:numId w:val="21"/>
        </w:numPr>
        <w:tabs>
          <w:tab w:val="left" w:pos="1932"/>
        </w:tabs>
        <w:spacing w:before="0" w:after="0" w:line="269" w:lineRule="exact"/>
        <w:ind w:left="1931" w:right="0" w:hanging="841"/>
        <w:jc w:val="both"/>
        <w:rPr>
          <w:color w:val="auto"/>
          <w:sz w:val="21"/>
          <w:highlight w:val="none"/>
        </w:rPr>
      </w:pPr>
      <w:r>
        <w:rPr>
          <w:color w:val="auto"/>
          <w:highlight w:val="none"/>
        </w:rPr>
        <w:t>定标</w:t>
      </w:r>
    </w:p>
    <w:p>
      <w:pPr>
        <w:pStyle w:val="14"/>
        <w:spacing w:before="7"/>
        <w:rPr>
          <w:color w:val="auto"/>
          <w:sz w:val="15"/>
          <w:highlight w:val="none"/>
        </w:rPr>
      </w:pPr>
    </w:p>
    <w:p>
      <w:pPr>
        <w:pStyle w:val="14"/>
        <w:spacing w:line="417" w:lineRule="auto"/>
        <w:ind w:left="671" w:right="955" w:firstLine="420"/>
        <w:jc w:val="both"/>
        <w:rPr>
          <w:color w:val="auto"/>
          <w:highlight w:val="none"/>
        </w:rPr>
      </w:pPr>
      <w:r>
        <w:rPr>
          <w:color w:val="auto"/>
          <w:highlight w:val="none"/>
        </w:rPr>
        <w:t>评标委员会完成综合评分后，按照投标人的综合得分从高至低的顺序进行排序，向招标人推荐综合得分最高的前三名作为中标候选人，并明确排列顺序，排列顺序为：综合得分最高的为第一的中标候选人，次者为第二中标候选人，以此类推。若出现两个或以上综合得分相同，则投标报价低的投标人排名在前，若投标报价也相同，则由评委以记名投票方式，以得票多的投标人排名在前。</w:t>
      </w:r>
    </w:p>
    <w:p>
      <w:pPr>
        <w:numPr>
          <w:ilvl w:val="1"/>
          <w:numId w:val="21"/>
        </w:numPr>
        <w:bidi w:val="0"/>
        <w:rPr>
          <w:b/>
          <w:bCs/>
          <w:color w:val="auto"/>
          <w:sz w:val="21"/>
          <w:szCs w:val="21"/>
          <w:highlight w:val="none"/>
        </w:rPr>
      </w:pPr>
      <w:r>
        <w:rPr>
          <w:b/>
          <w:bCs/>
          <w:color w:val="auto"/>
          <w:sz w:val="21"/>
          <w:szCs w:val="21"/>
          <w:highlight w:val="none"/>
        </w:rPr>
        <w:t>投标文件的澄清和补正</w:t>
      </w:r>
    </w:p>
    <w:p>
      <w:pPr>
        <w:pStyle w:val="14"/>
        <w:spacing w:before="6"/>
        <w:rPr>
          <w:b/>
          <w:color w:val="auto"/>
          <w:sz w:val="15"/>
          <w:highlight w:val="none"/>
        </w:rPr>
      </w:pPr>
    </w:p>
    <w:p>
      <w:pPr>
        <w:pStyle w:val="28"/>
        <w:numPr>
          <w:ilvl w:val="2"/>
          <w:numId w:val="21"/>
        </w:numPr>
        <w:tabs>
          <w:tab w:val="left" w:pos="1932"/>
        </w:tabs>
        <w:spacing w:before="1" w:after="0" w:line="417" w:lineRule="auto"/>
        <w:ind w:left="671" w:right="955" w:firstLine="420"/>
        <w:jc w:val="both"/>
        <w:rPr>
          <w:color w:val="auto"/>
          <w:highlight w:val="none"/>
        </w:rPr>
      </w:pPr>
      <w:r>
        <w:rPr>
          <w:color w:val="auto"/>
          <w:highlight w:val="none"/>
        </w:rPr>
        <w:t>在评标过程中，评标委员会可以书面形式要求投标人对所提交的投标文件中不明确的内容进行书面澄清或说明，或者对细微偏差进行补正。评标委员会不接受投标人主动提出的澄清、说明或补正。</w:t>
      </w:r>
    </w:p>
    <w:p>
      <w:pPr>
        <w:pStyle w:val="28"/>
        <w:numPr>
          <w:ilvl w:val="2"/>
          <w:numId w:val="21"/>
        </w:numPr>
        <w:tabs>
          <w:tab w:val="left" w:pos="1932"/>
        </w:tabs>
        <w:spacing w:before="0" w:after="0" w:line="417" w:lineRule="auto"/>
        <w:ind w:left="671" w:right="955" w:firstLine="420"/>
        <w:jc w:val="both"/>
        <w:rPr>
          <w:color w:val="auto"/>
          <w:sz w:val="21"/>
          <w:highlight w:val="none"/>
        </w:rPr>
      </w:pPr>
      <w:r>
        <w:rPr>
          <w:color w:val="auto"/>
          <w:highlight w:val="none"/>
        </w:rPr>
        <w:t>澄清、说明和补正不得改变投标文件的实质性内容。投标人的书面澄清、说明和补正属于投标文件的组成部分。</w:t>
      </w:r>
    </w:p>
    <w:p>
      <w:pPr>
        <w:pStyle w:val="28"/>
        <w:numPr>
          <w:ilvl w:val="2"/>
          <w:numId w:val="21"/>
        </w:numPr>
        <w:tabs>
          <w:tab w:val="left" w:pos="1932"/>
        </w:tabs>
        <w:spacing w:before="0" w:after="0" w:line="417" w:lineRule="auto"/>
        <w:ind w:left="671" w:right="955" w:firstLine="420"/>
        <w:jc w:val="both"/>
        <w:rPr>
          <w:color w:val="auto"/>
          <w:sz w:val="21"/>
          <w:highlight w:val="none"/>
        </w:rPr>
      </w:pPr>
      <w:r>
        <w:rPr>
          <w:color w:val="auto"/>
          <w:highlight w:val="none"/>
        </w:rPr>
        <w:t>评标委员会对投标人提交的澄清、说明或补正有疑问的，可以要求投标人进一步澄清、说明或补正，直至满足评标委员会的要求。</w:t>
      </w:r>
    </w:p>
    <w:p>
      <w:pPr>
        <w:numPr>
          <w:ilvl w:val="1"/>
          <w:numId w:val="21"/>
        </w:numPr>
        <w:tabs>
          <w:tab w:val="left" w:pos="1512"/>
        </w:tabs>
        <w:spacing w:before="0" w:line="269" w:lineRule="exact"/>
        <w:ind w:left="1511" w:right="0" w:hanging="421"/>
        <w:jc w:val="both"/>
        <w:rPr>
          <w:b/>
          <w:color w:val="auto"/>
          <w:sz w:val="21"/>
          <w:highlight w:val="none"/>
        </w:rPr>
      </w:pPr>
      <w:r>
        <w:rPr>
          <w:b/>
          <w:color w:val="auto"/>
          <w:sz w:val="21"/>
          <w:highlight w:val="none"/>
        </w:rPr>
        <w:t>评标结果</w:t>
      </w:r>
    </w:p>
    <w:p>
      <w:pPr>
        <w:pStyle w:val="14"/>
        <w:spacing w:before="5"/>
        <w:rPr>
          <w:b/>
          <w:color w:val="auto"/>
          <w:sz w:val="15"/>
          <w:highlight w:val="none"/>
        </w:rPr>
      </w:pPr>
    </w:p>
    <w:p>
      <w:pPr>
        <w:pStyle w:val="28"/>
        <w:numPr>
          <w:ilvl w:val="2"/>
          <w:numId w:val="21"/>
        </w:numPr>
        <w:tabs>
          <w:tab w:val="left" w:pos="1932"/>
        </w:tabs>
        <w:spacing w:before="1" w:after="0" w:line="417" w:lineRule="auto"/>
        <w:ind w:left="671" w:right="955" w:firstLine="420"/>
        <w:jc w:val="both"/>
        <w:rPr>
          <w:color w:val="auto"/>
          <w:highlight w:val="none"/>
        </w:rPr>
      </w:pPr>
      <w:r>
        <w:rPr>
          <w:color w:val="auto"/>
          <w:highlight w:val="none"/>
        </w:rPr>
        <w:t>确定中标人后，中标候选人情况将公示三天，公示内容包括：中标候选人的名称、最终投标报价（中标价）、项目负责人情况等。投标人对评标结果有异议的，应按国家发改委等部委 11 号令《工程建设项目招标投标活动</w:t>
      </w:r>
      <w:r>
        <w:rPr>
          <w:rFonts w:hint="eastAsia"/>
          <w:color w:val="auto"/>
          <w:highlight w:val="none"/>
          <w:lang w:eastAsia="zh-CN"/>
        </w:rPr>
        <w:t>投诉</w:t>
      </w:r>
      <w:r>
        <w:rPr>
          <w:color w:val="auto"/>
          <w:highlight w:val="none"/>
        </w:rPr>
        <w:t>处理办法》的有关规定，向建设工程招标监督部门反映。</w:t>
      </w:r>
    </w:p>
    <w:p>
      <w:pPr>
        <w:pStyle w:val="28"/>
        <w:numPr>
          <w:ilvl w:val="2"/>
          <w:numId w:val="21"/>
        </w:numPr>
        <w:tabs>
          <w:tab w:val="left" w:pos="1932"/>
        </w:tabs>
        <w:spacing w:before="0" w:after="0" w:line="417" w:lineRule="auto"/>
        <w:ind w:left="671" w:right="955" w:firstLine="420"/>
        <w:jc w:val="both"/>
        <w:rPr>
          <w:color w:val="auto"/>
          <w:sz w:val="21"/>
          <w:highlight w:val="none"/>
        </w:rPr>
      </w:pPr>
      <w:r>
        <w:rPr>
          <w:color w:val="auto"/>
          <w:highlight w:val="none"/>
        </w:rPr>
        <w:t>按上述评标办法所得的评标结果报备有关部门后，招标人应根据评标委员会提供的评标报告和推荐的中标候选人排列的顺序确定中标人，并把结果通知参加投标的所有投标人。</w:t>
      </w:r>
    </w:p>
    <w:p>
      <w:pPr>
        <w:pStyle w:val="28"/>
        <w:numPr>
          <w:ilvl w:val="2"/>
          <w:numId w:val="21"/>
        </w:numPr>
        <w:tabs>
          <w:tab w:val="left" w:pos="1932"/>
        </w:tabs>
        <w:spacing w:before="0" w:after="0" w:line="417" w:lineRule="auto"/>
        <w:ind w:left="671" w:right="955" w:firstLine="420"/>
        <w:jc w:val="both"/>
        <w:rPr>
          <w:color w:val="auto"/>
          <w:sz w:val="21"/>
          <w:highlight w:val="none"/>
        </w:rPr>
      </w:pPr>
      <w:r>
        <w:rPr>
          <w:color w:val="auto"/>
          <w:highlight w:val="none"/>
        </w:rPr>
        <w:t>招标人和招标代理机构向投标人公布评标结果时，无需公布具体的评审内容，也无需向未中标的投标人说明原因。</w:t>
      </w:r>
    </w:p>
    <w:p>
      <w:pPr>
        <w:pStyle w:val="28"/>
        <w:numPr>
          <w:ilvl w:val="2"/>
          <w:numId w:val="21"/>
        </w:numPr>
        <w:tabs>
          <w:tab w:val="left" w:pos="1931"/>
          <w:tab w:val="left" w:pos="1932"/>
        </w:tabs>
        <w:spacing w:before="58" w:after="0" w:line="417" w:lineRule="auto"/>
        <w:ind w:left="671" w:right="849" w:firstLine="420"/>
        <w:jc w:val="left"/>
        <w:rPr>
          <w:color w:val="auto"/>
          <w:sz w:val="21"/>
          <w:highlight w:val="none"/>
        </w:rPr>
      </w:pPr>
      <w:r>
        <w:rPr>
          <w:color w:val="auto"/>
          <w:highlight w:val="none"/>
        </w:rPr>
        <w:t>招标人保留对参加投标人进行澄清、抽查和现场考察的权力，若发现投标申请人的虚假、假报材料行为，将取消其投标（中标）资格，已中标的没收投标保证金（或履约保证金），并逐级上报建设行政主管部门，因此造成招标人损失的，保留向该投标人索赔的权利。</w:t>
      </w:r>
    </w:p>
    <w:p>
      <w:pPr>
        <w:spacing w:after="0" w:line="417" w:lineRule="auto"/>
        <w:jc w:val="left"/>
        <w:rPr>
          <w:color w:val="auto"/>
          <w:sz w:val="21"/>
          <w:highlight w:val="none"/>
        </w:rPr>
        <w:sectPr>
          <w:pgSz w:w="11910" w:h="16840"/>
          <w:pgMar w:top="1440" w:right="600" w:bottom="1240" w:left="860" w:header="0" w:footer="979" w:gutter="0"/>
          <w:pgBorders>
            <w:top w:val="none" w:sz="0" w:space="0"/>
            <w:left w:val="none" w:sz="0" w:space="0"/>
            <w:bottom w:val="none" w:sz="0" w:space="0"/>
            <w:right w:val="none" w:sz="0" w:space="0"/>
          </w:pgBorders>
          <w:pgNumType w:fmt="decimal"/>
          <w:cols w:space="720" w:num="1"/>
        </w:sectPr>
      </w:pPr>
    </w:p>
    <w:p>
      <w:pPr>
        <w:bidi w:val="0"/>
        <w:jc w:val="center"/>
        <w:rPr>
          <w:b/>
          <w:bCs/>
          <w:color w:val="auto"/>
          <w:sz w:val="30"/>
          <w:szCs w:val="30"/>
          <w:highlight w:val="none"/>
        </w:rPr>
      </w:pPr>
      <w:r>
        <w:rPr>
          <w:b/>
          <w:bCs/>
          <w:color w:val="auto"/>
          <w:sz w:val="30"/>
          <w:szCs w:val="30"/>
          <w:highlight w:val="none"/>
        </w:rPr>
        <w:t>否决投标条款一览表</w:t>
      </w:r>
    </w:p>
    <w:p>
      <w:pPr>
        <w:spacing w:before="219" w:line="417" w:lineRule="auto"/>
        <w:ind w:left="671" w:right="955" w:firstLine="420"/>
        <w:jc w:val="left"/>
        <w:rPr>
          <w:b/>
          <w:color w:val="auto"/>
          <w:sz w:val="21"/>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page">
                  <wp:posOffset>708660</wp:posOffset>
                </wp:positionH>
                <wp:positionV relativeFrom="paragraph">
                  <wp:posOffset>670560</wp:posOffset>
                </wp:positionV>
                <wp:extent cx="6130925" cy="6661150"/>
                <wp:effectExtent l="0" t="0" r="0" b="0"/>
                <wp:wrapNone/>
                <wp:docPr id="15" name="文本框 11"/>
                <wp:cNvGraphicFramePr/>
                <a:graphic xmlns:a="http://schemas.openxmlformats.org/drawingml/2006/main">
                  <a:graphicData uri="http://schemas.microsoft.com/office/word/2010/wordprocessingShape">
                    <wps:wsp>
                      <wps:cNvSpPr txBox="1"/>
                      <wps:spPr>
                        <a:xfrm>
                          <a:off x="0" y="0"/>
                          <a:ext cx="6130925" cy="6661150"/>
                        </a:xfrm>
                        <a:prstGeom prst="rect">
                          <a:avLst/>
                        </a:prstGeom>
                        <a:noFill/>
                        <a:ln>
                          <a:noFill/>
                        </a:ln>
                      </wps:spPr>
                      <wps:txbx>
                        <w:txbxContent>
                          <w:tbl>
                            <w:tblPr>
                              <w:tblStyle w:val="23"/>
                              <w:tblW w:w="9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611"/>
                              <w:gridCol w:w="6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78" w:type="dxa"/>
                                  <w:vAlign w:val="center"/>
                                </w:tcPr>
                                <w:p>
                                  <w:pPr>
                                    <w:bidi w:val="0"/>
                                    <w:jc w:val="center"/>
                                  </w:pPr>
                                  <w:r>
                                    <w:t>条款号</w:t>
                                  </w:r>
                                </w:p>
                              </w:tc>
                              <w:tc>
                                <w:tcPr>
                                  <w:tcW w:w="1611" w:type="dxa"/>
                                  <w:vAlign w:val="center"/>
                                </w:tcPr>
                                <w:p>
                                  <w:pPr>
                                    <w:bidi w:val="0"/>
                                    <w:jc w:val="center"/>
                                  </w:pPr>
                                  <w:r>
                                    <w:t>条款名称</w:t>
                                  </w:r>
                                </w:p>
                              </w:tc>
                              <w:tc>
                                <w:tcPr>
                                  <w:tcW w:w="6849" w:type="dxa"/>
                                  <w:vAlign w:val="center"/>
                                </w:tcPr>
                                <w:p>
                                  <w:pPr>
                                    <w:bidi w:val="0"/>
                                    <w:jc w:val="center"/>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78" w:type="dxa"/>
                                  <w:vAlign w:val="center"/>
                                </w:tcPr>
                                <w:p>
                                  <w:pPr>
                                    <w:bidi w:val="0"/>
                                    <w:jc w:val="center"/>
                                  </w:pPr>
                                  <w:r>
                                    <w:t>1.4.1</w:t>
                                  </w:r>
                                </w:p>
                              </w:tc>
                              <w:tc>
                                <w:tcPr>
                                  <w:tcW w:w="1611" w:type="dxa"/>
                                  <w:vAlign w:val="center"/>
                                </w:tcPr>
                                <w:p>
                                  <w:pPr>
                                    <w:bidi w:val="0"/>
                                    <w:jc w:val="center"/>
                                  </w:pPr>
                                  <w:r>
                                    <w:t>投标人资质条件、能力和信誉</w:t>
                                  </w:r>
                                </w:p>
                              </w:tc>
                              <w:tc>
                                <w:tcPr>
                                  <w:tcW w:w="6849" w:type="dxa"/>
                                  <w:vAlign w:val="center"/>
                                </w:tcPr>
                                <w:p>
                                  <w:pPr>
                                    <w:pStyle w:val="29"/>
                                    <w:spacing w:before="123"/>
                                    <w:ind w:left="91" w:right="28"/>
                                    <w:jc w:val="both"/>
                                    <w:rPr>
                                      <w:sz w:val="21"/>
                                    </w:rPr>
                                  </w:pPr>
                                  <w:r>
                                    <w:t>详见“第二章投标人须知”中“投标人须知前附表”1.4.1的要求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078" w:type="dxa"/>
                                  <w:vAlign w:val="center"/>
                                </w:tcPr>
                                <w:p>
                                  <w:pPr>
                                    <w:bidi w:val="0"/>
                                    <w:jc w:val="center"/>
                                  </w:pPr>
                                  <w:r>
                                    <w:t>3.2.3</w:t>
                                  </w:r>
                                </w:p>
                              </w:tc>
                              <w:tc>
                                <w:tcPr>
                                  <w:tcW w:w="1611" w:type="dxa"/>
                                  <w:vAlign w:val="center"/>
                                </w:tcPr>
                                <w:p>
                                  <w:pPr>
                                    <w:bidi w:val="0"/>
                                    <w:jc w:val="center"/>
                                  </w:pPr>
                                  <w:r>
                                    <w:t>最高投标限价</w:t>
                                  </w:r>
                                </w:p>
                              </w:tc>
                              <w:tc>
                                <w:tcPr>
                                  <w:tcW w:w="6849" w:type="dxa"/>
                                  <w:vAlign w:val="center"/>
                                </w:tcPr>
                                <w:p>
                                  <w:pPr>
                                    <w:pStyle w:val="29"/>
                                    <w:spacing w:before="123"/>
                                    <w:ind w:left="91" w:right="28"/>
                                    <w:jc w:val="both"/>
                                    <w:rPr>
                                      <w:sz w:val="21"/>
                                    </w:rPr>
                                  </w:pPr>
                                  <w:r>
                                    <w:t>详见“第二章投标人须知”中“投标人须知前附表”3.2.3的要求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78" w:type="dxa"/>
                                  <w:vAlign w:val="center"/>
                                </w:tcPr>
                                <w:p>
                                  <w:pPr>
                                    <w:bidi w:val="0"/>
                                    <w:jc w:val="center"/>
                                  </w:pPr>
                                  <w:r>
                                    <w:t>3.4.1</w:t>
                                  </w:r>
                                </w:p>
                              </w:tc>
                              <w:tc>
                                <w:tcPr>
                                  <w:tcW w:w="1611" w:type="dxa"/>
                                  <w:vAlign w:val="center"/>
                                </w:tcPr>
                                <w:p>
                                  <w:pPr>
                                    <w:bidi w:val="0"/>
                                    <w:jc w:val="center"/>
                                  </w:pPr>
                                  <w:r>
                                    <w:t>投标保证金</w:t>
                                  </w:r>
                                </w:p>
                              </w:tc>
                              <w:tc>
                                <w:tcPr>
                                  <w:tcW w:w="6849" w:type="dxa"/>
                                  <w:vAlign w:val="center"/>
                                </w:tcPr>
                                <w:p>
                                  <w:pPr>
                                    <w:pStyle w:val="29"/>
                                    <w:spacing w:before="122"/>
                                    <w:ind w:left="91" w:right="28"/>
                                    <w:jc w:val="both"/>
                                    <w:rPr>
                                      <w:sz w:val="21"/>
                                    </w:rPr>
                                  </w:pPr>
                                  <w:r>
                                    <w:t>详见“第二章投标人须知”中“投标人须知前附表”3.4.1的要求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78" w:type="dxa"/>
                                  <w:vAlign w:val="center"/>
                                </w:tcPr>
                                <w:p>
                                  <w:pPr>
                                    <w:bidi w:val="0"/>
                                    <w:jc w:val="center"/>
                                  </w:pPr>
                                  <w:r>
                                    <w:t>3.7.3</w:t>
                                  </w:r>
                                </w:p>
                              </w:tc>
                              <w:tc>
                                <w:tcPr>
                                  <w:tcW w:w="1611" w:type="dxa"/>
                                  <w:vAlign w:val="center"/>
                                </w:tcPr>
                                <w:p>
                                  <w:pPr>
                                    <w:bidi w:val="0"/>
                                    <w:jc w:val="center"/>
                                  </w:pPr>
                                  <w:r>
                                    <w:t>签字或盖章要求</w:t>
                                  </w:r>
                                </w:p>
                              </w:tc>
                              <w:tc>
                                <w:tcPr>
                                  <w:tcW w:w="6849" w:type="dxa"/>
                                  <w:vAlign w:val="center"/>
                                </w:tcPr>
                                <w:p>
                                  <w:pPr>
                                    <w:pStyle w:val="29"/>
                                    <w:spacing w:before="122"/>
                                    <w:ind w:left="91" w:right="28"/>
                                    <w:jc w:val="both"/>
                                    <w:rPr>
                                      <w:sz w:val="21"/>
                                    </w:rPr>
                                  </w:pPr>
                                  <w:r>
                                    <w:t>详见“第二章投标人须知”中“投标人须知前附表”3.7.3的要求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78" w:type="dxa"/>
                                  <w:vAlign w:val="center"/>
                                </w:tcPr>
                                <w:p>
                                  <w:pPr>
                                    <w:bidi w:val="0"/>
                                    <w:jc w:val="center"/>
                                  </w:pPr>
                                  <w:r>
                                    <w:t>3.7.4</w:t>
                                  </w:r>
                                </w:p>
                              </w:tc>
                              <w:tc>
                                <w:tcPr>
                                  <w:tcW w:w="1611" w:type="dxa"/>
                                  <w:vAlign w:val="center"/>
                                </w:tcPr>
                                <w:p>
                                  <w:pPr>
                                    <w:bidi w:val="0"/>
                                    <w:jc w:val="center"/>
                                  </w:pPr>
                                  <w:r>
                                    <w:t>投标文件份数</w:t>
                                  </w:r>
                                </w:p>
                              </w:tc>
                              <w:tc>
                                <w:tcPr>
                                  <w:tcW w:w="6849" w:type="dxa"/>
                                  <w:vAlign w:val="center"/>
                                </w:tcPr>
                                <w:p>
                                  <w:pPr>
                                    <w:pStyle w:val="29"/>
                                    <w:spacing w:before="123"/>
                                    <w:ind w:left="91" w:right="28"/>
                                    <w:jc w:val="both"/>
                                    <w:rPr>
                                      <w:sz w:val="21"/>
                                    </w:rPr>
                                  </w:pPr>
                                  <w:r>
                                    <w:t>详见“第二章投标人须知”中“投标人须知前附表”3.7.4的要求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78" w:type="dxa"/>
                                  <w:vAlign w:val="center"/>
                                </w:tcPr>
                                <w:p>
                                  <w:pPr>
                                    <w:bidi w:val="0"/>
                                    <w:jc w:val="center"/>
                                  </w:pPr>
                                  <w:r>
                                    <w:t>3.7.5</w:t>
                                  </w:r>
                                </w:p>
                              </w:tc>
                              <w:tc>
                                <w:tcPr>
                                  <w:tcW w:w="1611" w:type="dxa"/>
                                  <w:vAlign w:val="center"/>
                                </w:tcPr>
                                <w:p>
                                  <w:pPr>
                                    <w:bidi w:val="0"/>
                                    <w:jc w:val="center"/>
                                  </w:pPr>
                                  <w:r>
                                    <w:t>装订要求</w:t>
                                  </w:r>
                                </w:p>
                              </w:tc>
                              <w:tc>
                                <w:tcPr>
                                  <w:tcW w:w="6849" w:type="dxa"/>
                                  <w:vAlign w:val="center"/>
                                </w:tcPr>
                                <w:p>
                                  <w:pPr>
                                    <w:pStyle w:val="29"/>
                                    <w:spacing w:before="125"/>
                                    <w:ind w:left="91" w:right="28"/>
                                    <w:jc w:val="both"/>
                                    <w:rPr>
                                      <w:sz w:val="21"/>
                                    </w:rPr>
                                  </w:pPr>
                                  <w:r>
                                    <w:t>详见“第二章投标人须知”中“投标人须知前附表”3.7.5的要求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078" w:type="dxa"/>
                                  <w:vAlign w:val="center"/>
                                </w:tcPr>
                                <w:p>
                                  <w:pPr>
                                    <w:bidi w:val="0"/>
                                    <w:jc w:val="center"/>
                                  </w:pPr>
                                  <w:r>
                                    <w:t>5.3</w:t>
                                  </w:r>
                                </w:p>
                              </w:tc>
                              <w:tc>
                                <w:tcPr>
                                  <w:tcW w:w="1611" w:type="dxa"/>
                                  <w:vAlign w:val="center"/>
                                </w:tcPr>
                                <w:p>
                                  <w:pPr>
                                    <w:bidi w:val="0"/>
                                    <w:jc w:val="center"/>
                                  </w:pPr>
                                  <w:r>
                                    <w:t>建设工程招标现场提交资料</w:t>
                                  </w:r>
                                </w:p>
                                <w:p>
                                  <w:pPr>
                                    <w:bidi w:val="0"/>
                                    <w:jc w:val="center"/>
                                  </w:pPr>
                                  <w:r>
                                    <w:t>登记表</w:t>
                                  </w:r>
                                </w:p>
                              </w:tc>
                              <w:tc>
                                <w:tcPr>
                                  <w:tcW w:w="6849" w:type="dxa"/>
                                  <w:vAlign w:val="top"/>
                                </w:tcPr>
                                <w:p>
                                  <w:pPr>
                                    <w:pStyle w:val="29"/>
                                    <w:spacing w:before="2"/>
                                    <w:jc w:val="both"/>
                                    <w:rPr>
                                      <w:b/>
                                      <w:sz w:val="21"/>
                                    </w:rPr>
                                  </w:pPr>
                                </w:p>
                                <w:p>
                                  <w:pPr>
                                    <w:pStyle w:val="29"/>
                                    <w:ind w:left="91" w:right="28"/>
                                    <w:jc w:val="both"/>
                                    <w:rPr>
                                      <w:sz w:val="21"/>
                                    </w:rPr>
                                  </w:pPr>
                                  <w:r>
                                    <w:t>详见“第二章投标人须知”中正文5.3的要求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2.1.1</w:t>
                                  </w:r>
                                </w:p>
                              </w:tc>
                              <w:tc>
                                <w:tcPr>
                                  <w:tcW w:w="1611" w:type="dxa"/>
                                  <w:vAlign w:val="center"/>
                                </w:tcPr>
                                <w:p>
                                  <w:pPr>
                                    <w:bidi w:val="0"/>
                                    <w:jc w:val="center"/>
                                  </w:pPr>
                                  <w:r>
                                    <w:t>形式评审标准</w:t>
                                  </w:r>
                                </w:p>
                              </w:tc>
                              <w:tc>
                                <w:tcPr>
                                  <w:tcW w:w="6849" w:type="dxa"/>
                                </w:tcPr>
                                <w:p>
                                  <w:pPr>
                                    <w:pStyle w:val="29"/>
                                    <w:spacing w:before="81" w:line="310" w:lineRule="atLeast"/>
                                    <w:ind w:left="111" w:right="45"/>
                                    <w:rPr>
                                      <w:sz w:val="21"/>
                                    </w:rPr>
                                  </w:pPr>
                                  <w:r>
                                    <w:t>详见“第三章评标办法（综合评估法）”中评标办法前附表2.1.1形式评审标准的要求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2.1.2</w:t>
                                  </w:r>
                                </w:p>
                              </w:tc>
                              <w:tc>
                                <w:tcPr>
                                  <w:tcW w:w="1611" w:type="dxa"/>
                                  <w:vAlign w:val="center"/>
                                </w:tcPr>
                                <w:p>
                                  <w:pPr>
                                    <w:bidi w:val="0"/>
                                    <w:jc w:val="center"/>
                                  </w:pPr>
                                  <w:r>
                                    <w:t>资格评审标准</w:t>
                                  </w:r>
                                </w:p>
                              </w:tc>
                              <w:tc>
                                <w:tcPr>
                                  <w:tcW w:w="6849" w:type="dxa"/>
                                </w:tcPr>
                                <w:p>
                                  <w:pPr>
                                    <w:pStyle w:val="29"/>
                                    <w:spacing w:before="83" w:line="310" w:lineRule="atLeast"/>
                                    <w:ind w:left="111" w:right="45"/>
                                    <w:rPr>
                                      <w:sz w:val="21"/>
                                    </w:rPr>
                                  </w:pPr>
                                  <w:r>
                                    <w:t>详见“第三章评标办法（综合评估法）”中评标办法前附表2.1.2资格评审标准的要求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2.1.3</w:t>
                                  </w:r>
                                </w:p>
                              </w:tc>
                              <w:tc>
                                <w:tcPr>
                                  <w:tcW w:w="1611" w:type="dxa"/>
                                  <w:vAlign w:val="center"/>
                                </w:tcPr>
                                <w:p>
                                  <w:pPr>
                                    <w:bidi w:val="0"/>
                                    <w:jc w:val="center"/>
                                  </w:pPr>
                                  <w:r>
                                    <w:t>响应性评审标准</w:t>
                                  </w:r>
                                </w:p>
                              </w:tc>
                              <w:tc>
                                <w:tcPr>
                                  <w:tcW w:w="6849" w:type="dxa"/>
                                </w:tcPr>
                                <w:p>
                                  <w:pPr>
                                    <w:pStyle w:val="29"/>
                                    <w:spacing w:before="81" w:line="310" w:lineRule="atLeast"/>
                                    <w:ind w:left="111" w:right="77"/>
                                    <w:rPr>
                                      <w:sz w:val="21"/>
                                    </w:rPr>
                                  </w:pPr>
                                  <w:r>
                                    <w:t>详见“第三章评标办法（综合评估法）”中评标办法前附表2.1.3响应性评审标准的要求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78" w:type="dxa"/>
                                  <w:vAlign w:val="center"/>
                                </w:tcPr>
                                <w:p>
                                  <w:pPr>
                                    <w:bidi w:val="0"/>
                                    <w:jc w:val="center"/>
                                  </w:pPr>
                                  <w:r>
                                    <w:t>3.1.1</w:t>
                                  </w:r>
                                </w:p>
                              </w:tc>
                              <w:tc>
                                <w:tcPr>
                                  <w:tcW w:w="1611" w:type="dxa"/>
                                  <w:vAlign w:val="center"/>
                                </w:tcPr>
                                <w:p>
                                  <w:pPr>
                                    <w:bidi w:val="0"/>
                                    <w:jc w:val="center"/>
                                  </w:pPr>
                                  <w:r>
                                    <w:t>评标程序</w:t>
                                  </w:r>
                                </w:p>
                              </w:tc>
                              <w:tc>
                                <w:tcPr>
                                  <w:tcW w:w="6849" w:type="dxa"/>
                                </w:tcPr>
                                <w:p>
                                  <w:pPr>
                                    <w:pStyle w:val="29"/>
                                    <w:spacing w:before="83" w:line="310" w:lineRule="atLeast"/>
                                    <w:ind w:left="111" w:right="45"/>
                                    <w:rPr>
                                      <w:sz w:val="21"/>
                                    </w:rPr>
                                  </w:pPr>
                                  <w:r>
                                    <w:t>详见“第三章评标办法（综合评估法）”中“3.评审程序”中的3.1.1的要求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3.1.2</w:t>
                                  </w:r>
                                </w:p>
                              </w:tc>
                              <w:tc>
                                <w:tcPr>
                                  <w:tcW w:w="1611" w:type="dxa"/>
                                  <w:vAlign w:val="center"/>
                                </w:tcPr>
                                <w:p>
                                  <w:pPr>
                                    <w:bidi w:val="0"/>
                                    <w:jc w:val="center"/>
                                  </w:pPr>
                                  <w:r>
                                    <w:t>评标程序</w:t>
                                  </w:r>
                                </w:p>
                              </w:tc>
                              <w:tc>
                                <w:tcPr>
                                  <w:tcW w:w="6849" w:type="dxa"/>
                                </w:tcPr>
                                <w:p>
                                  <w:pPr>
                                    <w:pStyle w:val="29"/>
                                    <w:spacing w:before="81" w:line="310" w:lineRule="atLeast"/>
                                    <w:ind w:left="111" w:right="45"/>
                                    <w:rPr>
                                      <w:sz w:val="21"/>
                                    </w:rPr>
                                  </w:pPr>
                                  <w:r>
                                    <w:t>详见“第三章评标办法（综合评估法）”中“3.评审程序”中的3.1.2的要求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78" w:type="dxa"/>
                                  <w:vAlign w:val="center"/>
                                </w:tcPr>
                                <w:p>
                                  <w:pPr>
                                    <w:bidi w:val="0"/>
                                    <w:jc w:val="center"/>
                                  </w:pPr>
                                  <w:r>
                                    <w:t>3.1.3</w:t>
                                  </w:r>
                                </w:p>
                              </w:tc>
                              <w:tc>
                                <w:tcPr>
                                  <w:tcW w:w="1611" w:type="dxa"/>
                                  <w:vAlign w:val="center"/>
                                </w:tcPr>
                                <w:p>
                                  <w:pPr>
                                    <w:bidi w:val="0"/>
                                    <w:jc w:val="center"/>
                                  </w:pPr>
                                  <w:r>
                                    <w:t>评标程序</w:t>
                                  </w:r>
                                </w:p>
                              </w:tc>
                              <w:tc>
                                <w:tcPr>
                                  <w:tcW w:w="6849" w:type="dxa"/>
                                </w:tcPr>
                                <w:p>
                                  <w:pPr>
                                    <w:pStyle w:val="29"/>
                                    <w:spacing w:before="83" w:line="310" w:lineRule="atLeast"/>
                                    <w:ind w:left="111" w:right="45"/>
                                    <w:rPr>
                                      <w:sz w:val="21"/>
                                    </w:rPr>
                                  </w:pPr>
                                  <w:r>
                                    <w:t>详见“第三章评标办法（综合评估法）”中“3.评审程序”中的3.1.3的要求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3.1.4</w:t>
                                  </w:r>
                                </w:p>
                              </w:tc>
                              <w:tc>
                                <w:tcPr>
                                  <w:tcW w:w="1611" w:type="dxa"/>
                                  <w:vAlign w:val="center"/>
                                </w:tcPr>
                                <w:p>
                                  <w:pPr>
                                    <w:bidi w:val="0"/>
                                    <w:jc w:val="center"/>
                                  </w:pPr>
                                  <w:r>
                                    <w:t>评标程序</w:t>
                                  </w:r>
                                </w:p>
                              </w:tc>
                              <w:tc>
                                <w:tcPr>
                                  <w:tcW w:w="6849" w:type="dxa"/>
                                </w:tcPr>
                                <w:p>
                                  <w:pPr>
                                    <w:pStyle w:val="29"/>
                                    <w:spacing w:before="81" w:line="310" w:lineRule="atLeast"/>
                                    <w:ind w:left="111" w:right="45"/>
                                    <w:rPr>
                                      <w:sz w:val="21"/>
                                    </w:rPr>
                                  </w:pPr>
                                  <w:r>
                                    <w:t>详见“第三章评标办法（综合评估法）”中“3.评审程序”中的3.1.4的要求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3.1.5</w:t>
                                  </w:r>
                                </w:p>
                              </w:tc>
                              <w:tc>
                                <w:tcPr>
                                  <w:tcW w:w="1611" w:type="dxa"/>
                                  <w:vAlign w:val="center"/>
                                </w:tcPr>
                                <w:p>
                                  <w:pPr>
                                    <w:bidi w:val="0"/>
                                    <w:jc w:val="center"/>
                                  </w:pPr>
                                  <w:r>
                                    <w:t>评标程序</w:t>
                                  </w:r>
                                </w:p>
                              </w:tc>
                              <w:tc>
                                <w:tcPr>
                                  <w:tcW w:w="6849" w:type="dxa"/>
                                </w:tcPr>
                                <w:p>
                                  <w:pPr>
                                    <w:pStyle w:val="29"/>
                                    <w:spacing w:before="81" w:line="310" w:lineRule="atLeast"/>
                                    <w:ind w:left="111" w:right="45"/>
                                    <w:rPr>
                                      <w:sz w:val="21"/>
                                    </w:rPr>
                                  </w:pPr>
                                  <w:r>
                                    <w:t>详见“第三章评标办法（综合评估法）”中“3.评审程序”中的3.1.5的要求</w:t>
                                  </w:r>
                                </w:p>
                              </w:tc>
                            </w:tr>
                          </w:tbl>
                          <w:p>
                            <w:pPr>
                              <w:pStyle w:val="14"/>
                            </w:pPr>
                          </w:p>
                        </w:txbxContent>
                      </wps:txbx>
                      <wps:bodyPr lIns="0" tIns="0" rIns="0" bIns="0" upright="1"/>
                    </wps:wsp>
                  </a:graphicData>
                </a:graphic>
              </wp:anchor>
            </w:drawing>
          </mc:Choice>
          <mc:Fallback>
            <w:pict>
              <v:shape id="文本框 11" o:spid="_x0000_s1026" o:spt="202" type="#_x0000_t202" style="position:absolute;left:0pt;margin-left:55.8pt;margin-top:52.8pt;height:524.5pt;width:482.75pt;mso-position-horizontal-relative:page;z-index:251667456;mso-width-relative:page;mso-height-relative:page;" filled="f" stroked="f" coordsize="21600,21600" o:gfxdata="UEsDBAoAAAAAAIdO4kAAAAAAAAAAAAAAAAAEAAAAZHJzL1BLAwQUAAAACACHTuJAuXNL4dgAAAAN&#10;AQAADwAAAGRycy9kb3ducmV2LnhtbE2PzU7DMBCE70i8g7VI3KhtRNMS4lQIwQkJkaYHjk7sJlbj&#10;dYjdH96ezQluM5rR7LfF5uIHdrJTdAEVyIUAZrENxmGnYFe/3a2BxaTR6CGgVfBjI2zK66tC5yac&#10;sbKnbeoYjWDMtYI+pTHnPLa99TouwmiRsn2YvE5kp46bSZ9p3A/8XoiMe+2QLvR6tC+9bQ/bo1fw&#10;/IXVq/v+aD6rfeXq+lHge3ZQ6vZGiidgyV7SXxlmfEKHkpiacEQT2UBeyoyqJMSSxNwQq5UE1szZ&#10;8iEDXhb8/xflL1BLAwQUAAAACACHTuJAlRgZKrwBAAB1AwAADgAAAGRycy9lMm9Eb2MueG1srVPN&#10;jtMwEL4j8Q6W79RJ0UYQNV0JVYuQECAtPIDr2I0l/2nsNukLwBtw4sKd5+pzMHabLiyXPXBxJjOT&#10;b77vG2d1O1lDDhKi9q6j9aKiRDrhe+12Hf3y+e7FK0pi4q7nxjvZ0aOM9Hb9/NlqDK1c+sGbXgJB&#10;EBfbMXR0SCm0jEUxSMvjwgfpsKg8WJ7wFXasBz4iujVsWVUNGz30AbyQMWJ2cy7SCyI8BdArpYXc&#10;eLG30qUzKkjDE0qKgw6RrgtbpaRIH5WKMhHTUVSayolDMN7mk61XvN0BD4MWFwr8KRQeabJcOxx6&#10;hdrwxMke9D9QVgvw0au0EN6ys5DiCKqoq0fe3A88yKIFrY7hanr8f7Diw+ETEN3jTbihxHGLGz99&#10;/3b68ev08yup62zQGGKLffcBO9P0xk/YPOcjJrPuSYHNT1REsI72Hq/2yikRgcmmflm9XuIYgbWm&#10;aer6piyAPXweIKa30luSg44C7q/Yyg/vY0Iq2Dq35GnO32ljyg6N+yuBjTnDMvczxxylaTtdBG19&#10;f0Q95p1DN/PNmAOYg+0c7APo3YB0iuoCidsoZC43J6/7z/cy+OF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NL4dgAAAANAQAADwAAAAAAAAABACAAAAAiAAAAZHJzL2Rvd25yZXYueG1sUEsB&#10;AhQAFAAAAAgAh07iQJUYGSq8AQAAdQMAAA4AAAAAAAAAAQAgAAAAJwEAAGRycy9lMm9Eb2MueG1s&#10;UEsFBgAAAAAGAAYAWQEAAFUFAAAAAA==&#10;">
                <v:fill on="f" focussize="0,0"/>
                <v:stroke on="f"/>
                <v:imagedata o:title=""/>
                <o:lock v:ext="edit" aspectratio="f"/>
                <v:textbox inset="0mm,0mm,0mm,0mm">
                  <w:txbxContent>
                    <w:tbl>
                      <w:tblPr>
                        <w:tblStyle w:val="23"/>
                        <w:tblW w:w="9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611"/>
                        <w:gridCol w:w="6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78" w:type="dxa"/>
                            <w:vAlign w:val="center"/>
                          </w:tcPr>
                          <w:p>
                            <w:pPr>
                              <w:bidi w:val="0"/>
                              <w:jc w:val="center"/>
                            </w:pPr>
                            <w:r>
                              <w:t>条款号</w:t>
                            </w:r>
                          </w:p>
                        </w:tc>
                        <w:tc>
                          <w:tcPr>
                            <w:tcW w:w="1611" w:type="dxa"/>
                            <w:vAlign w:val="center"/>
                          </w:tcPr>
                          <w:p>
                            <w:pPr>
                              <w:bidi w:val="0"/>
                              <w:jc w:val="center"/>
                            </w:pPr>
                            <w:r>
                              <w:t>条款名称</w:t>
                            </w:r>
                          </w:p>
                        </w:tc>
                        <w:tc>
                          <w:tcPr>
                            <w:tcW w:w="6849" w:type="dxa"/>
                            <w:vAlign w:val="center"/>
                          </w:tcPr>
                          <w:p>
                            <w:pPr>
                              <w:bidi w:val="0"/>
                              <w:jc w:val="center"/>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78" w:type="dxa"/>
                            <w:vAlign w:val="center"/>
                          </w:tcPr>
                          <w:p>
                            <w:pPr>
                              <w:bidi w:val="0"/>
                              <w:jc w:val="center"/>
                            </w:pPr>
                            <w:r>
                              <w:t>1.4.1</w:t>
                            </w:r>
                          </w:p>
                        </w:tc>
                        <w:tc>
                          <w:tcPr>
                            <w:tcW w:w="1611" w:type="dxa"/>
                            <w:vAlign w:val="center"/>
                          </w:tcPr>
                          <w:p>
                            <w:pPr>
                              <w:bidi w:val="0"/>
                              <w:jc w:val="center"/>
                            </w:pPr>
                            <w:r>
                              <w:t>投标人资质条件、能力和信誉</w:t>
                            </w:r>
                          </w:p>
                        </w:tc>
                        <w:tc>
                          <w:tcPr>
                            <w:tcW w:w="6849" w:type="dxa"/>
                            <w:vAlign w:val="center"/>
                          </w:tcPr>
                          <w:p>
                            <w:pPr>
                              <w:pStyle w:val="29"/>
                              <w:spacing w:before="123"/>
                              <w:ind w:left="91" w:right="28"/>
                              <w:jc w:val="both"/>
                              <w:rPr>
                                <w:sz w:val="21"/>
                              </w:rPr>
                            </w:pPr>
                            <w:r>
                              <w:t>详见“第二章投标人须知”中“投标人须知前附表”1.4.1的要求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078" w:type="dxa"/>
                            <w:vAlign w:val="center"/>
                          </w:tcPr>
                          <w:p>
                            <w:pPr>
                              <w:bidi w:val="0"/>
                              <w:jc w:val="center"/>
                            </w:pPr>
                            <w:r>
                              <w:t>3.2.3</w:t>
                            </w:r>
                          </w:p>
                        </w:tc>
                        <w:tc>
                          <w:tcPr>
                            <w:tcW w:w="1611" w:type="dxa"/>
                            <w:vAlign w:val="center"/>
                          </w:tcPr>
                          <w:p>
                            <w:pPr>
                              <w:bidi w:val="0"/>
                              <w:jc w:val="center"/>
                            </w:pPr>
                            <w:r>
                              <w:t>最高投标限价</w:t>
                            </w:r>
                          </w:p>
                        </w:tc>
                        <w:tc>
                          <w:tcPr>
                            <w:tcW w:w="6849" w:type="dxa"/>
                            <w:vAlign w:val="center"/>
                          </w:tcPr>
                          <w:p>
                            <w:pPr>
                              <w:pStyle w:val="29"/>
                              <w:spacing w:before="123"/>
                              <w:ind w:left="91" w:right="28"/>
                              <w:jc w:val="both"/>
                              <w:rPr>
                                <w:sz w:val="21"/>
                              </w:rPr>
                            </w:pPr>
                            <w:r>
                              <w:t>详见“第二章投标人须知”中“投标人须知前附表”3.2.3的要求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78" w:type="dxa"/>
                            <w:vAlign w:val="center"/>
                          </w:tcPr>
                          <w:p>
                            <w:pPr>
                              <w:bidi w:val="0"/>
                              <w:jc w:val="center"/>
                            </w:pPr>
                            <w:r>
                              <w:t>3.4.1</w:t>
                            </w:r>
                          </w:p>
                        </w:tc>
                        <w:tc>
                          <w:tcPr>
                            <w:tcW w:w="1611" w:type="dxa"/>
                            <w:vAlign w:val="center"/>
                          </w:tcPr>
                          <w:p>
                            <w:pPr>
                              <w:bidi w:val="0"/>
                              <w:jc w:val="center"/>
                            </w:pPr>
                            <w:r>
                              <w:t>投标保证金</w:t>
                            </w:r>
                          </w:p>
                        </w:tc>
                        <w:tc>
                          <w:tcPr>
                            <w:tcW w:w="6849" w:type="dxa"/>
                            <w:vAlign w:val="center"/>
                          </w:tcPr>
                          <w:p>
                            <w:pPr>
                              <w:pStyle w:val="29"/>
                              <w:spacing w:before="122"/>
                              <w:ind w:left="91" w:right="28"/>
                              <w:jc w:val="both"/>
                              <w:rPr>
                                <w:sz w:val="21"/>
                              </w:rPr>
                            </w:pPr>
                            <w:r>
                              <w:t>详见“第二章投标人须知”中“投标人须知前附表”3.4.1的要求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78" w:type="dxa"/>
                            <w:vAlign w:val="center"/>
                          </w:tcPr>
                          <w:p>
                            <w:pPr>
                              <w:bidi w:val="0"/>
                              <w:jc w:val="center"/>
                            </w:pPr>
                            <w:r>
                              <w:t>3.7.3</w:t>
                            </w:r>
                          </w:p>
                        </w:tc>
                        <w:tc>
                          <w:tcPr>
                            <w:tcW w:w="1611" w:type="dxa"/>
                            <w:vAlign w:val="center"/>
                          </w:tcPr>
                          <w:p>
                            <w:pPr>
                              <w:bidi w:val="0"/>
                              <w:jc w:val="center"/>
                            </w:pPr>
                            <w:r>
                              <w:t>签字或盖章要求</w:t>
                            </w:r>
                          </w:p>
                        </w:tc>
                        <w:tc>
                          <w:tcPr>
                            <w:tcW w:w="6849" w:type="dxa"/>
                            <w:vAlign w:val="center"/>
                          </w:tcPr>
                          <w:p>
                            <w:pPr>
                              <w:pStyle w:val="29"/>
                              <w:spacing w:before="122"/>
                              <w:ind w:left="91" w:right="28"/>
                              <w:jc w:val="both"/>
                              <w:rPr>
                                <w:sz w:val="21"/>
                              </w:rPr>
                            </w:pPr>
                            <w:r>
                              <w:t>详见“第二章投标人须知”中“投标人须知前附表”3.7.3的要求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78" w:type="dxa"/>
                            <w:vAlign w:val="center"/>
                          </w:tcPr>
                          <w:p>
                            <w:pPr>
                              <w:bidi w:val="0"/>
                              <w:jc w:val="center"/>
                            </w:pPr>
                            <w:r>
                              <w:t>3.7.4</w:t>
                            </w:r>
                          </w:p>
                        </w:tc>
                        <w:tc>
                          <w:tcPr>
                            <w:tcW w:w="1611" w:type="dxa"/>
                            <w:vAlign w:val="center"/>
                          </w:tcPr>
                          <w:p>
                            <w:pPr>
                              <w:bidi w:val="0"/>
                              <w:jc w:val="center"/>
                            </w:pPr>
                            <w:r>
                              <w:t>投标文件份数</w:t>
                            </w:r>
                          </w:p>
                        </w:tc>
                        <w:tc>
                          <w:tcPr>
                            <w:tcW w:w="6849" w:type="dxa"/>
                            <w:vAlign w:val="center"/>
                          </w:tcPr>
                          <w:p>
                            <w:pPr>
                              <w:pStyle w:val="29"/>
                              <w:spacing w:before="123"/>
                              <w:ind w:left="91" w:right="28"/>
                              <w:jc w:val="both"/>
                              <w:rPr>
                                <w:sz w:val="21"/>
                              </w:rPr>
                            </w:pPr>
                            <w:r>
                              <w:t>详见“第二章投标人须知”中“投标人须知前附表”3.7.4的要求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78" w:type="dxa"/>
                            <w:vAlign w:val="center"/>
                          </w:tcPr>
                          <w:p>
                            <w:pPr>
                              <w:bidi w:val="0"/>
                              <w:jc w:val="center"/>
                            </w:pPr>
                            <w:r>
                              <w:t>3.7.5</w:t>
                            </w:r>
                          </w:p>
                        </w:tc>
                        <w:tc>
                          <w:tcPr>
                            <w:tcW w:w="1611" w:type="dxa"/>
                            <w:vAlign w:val="center"/>
                          </w:tcPr>
                          <w:p>
                            <w:pPr>
                              <w:bidi w:val="0"/>
                              <w:jc w:val="center"/>
                            </w:pPr>
                            <w:r>
                              <w:t>装订要求</w:t>
                            </w:r>
                          </w:p>
                        </w:tc>
                        <w:tc>
                          <w:tcPr>
                            <w:tcW w:w="6849" w:type="dxa"/>
                            <w:vAlign w:val="center"/>
                          </w:tcPr>
                          <w:p>
                            <w:pPr>
                              <w:pStyle w:val="29"/>
                              <w:spacing w:before="125"/>
                              <w:ind w:left="91" w:right="28"/>
                              <w:jc w:val="both"/>
                              <w:rPr>
                                <w:sz w:val="21"/>
                              </w:rPr>
                            </w:pPr>
                            <w:r>
                              <w:t>详见“第二章投标人须知”中“投标人须知前附表”3.7.5的要求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078" w:type="dxa"/>
                            <w:vAlign w:val="center"/>
                          </w:tcPr>
                          <w:p>
                            <w:pPr>
                              <w:bidi w:val="0"/>
                              <w:jc w:val="center"/>
                            </w:pPr>
                            <w:r>
                              <w:t>5.3</w:t>
                            </w:r>
                          </w:p>
                        </w:tc>
                        <w:tc>
                          <w:tcPr>
                            <w:tcW w:w="1611" w:type="dxa"/>
                            <w:vAlign w:val="center"/>
                          </w:tcPr>
                          <w:p>
                            <w:pPr>
                              <w:bidi w:val="0"/>
                              <w:jc w:val="center"/>
                            </w:pPr>
                            <w:r>
                              <w:t>建设工程招标现场提交资料</w:t>
                            </w:r>
                          </w:p>
                          <w:p>
                            <w:pPr>
                              <w:bidi w:val="0"/>
                              <w:jc w:val="center"/>
                            </w:pPr>
                            <w:r>
                              <w:t>登记表</w:t>
                            </w:r>
                          </w:p>
                        </w:tc>
                        <w:tc>
                          <w:tcPr>
                            <w:tcW w:w="6849" w:type="dxa"/>
                            <w:vAlign w:val="top"/>
                          </w:tcPr>
                          <w:p>
                            <w:pPr>
                              <w:pStyle w:val="29"/>
                              <w:spacing w:before="2"/>
                              <w:jc w:val="both"/>
                              <w:rPr>
                                <w:b/>
                                <w:sz w:val="21"/>
                              </w:rPr>
                            </w:pPr>
                          </w:p>
                          <w:p>
                            <w:pPr>
                              <w:pStyle w:val="29"/>
                              <w:ind w:left="91" w:right="28"/>
                              <w:jc w:val="both"/>
                              <w:rPr>
                                <w:sz w:val="21"/>
                              </w:rPr>
                            </w:pPr>
                            <w:r>
                              <w:t>详见“第二章投标人须知”中正文5.3的要求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2.1.1</w:t>
                            </w:r>
                          </w:p>
                        </w:tc>
                        <w:tc>
                          <w:tcPr>
                            <w:tcW w:w="1611" w:type="dxa"/>
                            <w:vAlign w:val="center"/>
                          </w:tcPr>
                          <w:p>
                            <w:pPr>
                              <w:bidi w:val="0"/>
                              <w:jc w:val="center"/>
                            </w:pPr>
                            <w:r>
                              <w:t>形式评审标准</w:t>
                            </w:r>
                          </w:p>
                        </w:tc>
                        <w:tc>
                          <w:tcPr>
                            <w:tcW w:w="6849" w:type="dxa"/>
                          </w:tcPr>
                          <w:p>
                            <w:pPr>
                              <w:pStyle w:val="29"/>
                              <w:spacing w:before="81" w:line="310" w:lineRule="atLeast"/>
                              <w:ind w:left="111" w:right="45"/>
                              <w:rPr>
                                <w:sz w:val="21"/>
                              </w:rPr>
                            </w:pPr>
                            <w:r>
                              <w:t>详见“第三章评标办法（综合评估法）”中评标办法前附表2.1.1形式评审标准的要求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2.1.2</w:t>
                            </w:r>
                          </w:p>
                        </w:tc>
                        <w:tc>
                          <w:tcPr>
                            <w:tcW w:w="1611" w:type="dxa"/>
                            <w:vAlign w:val="center"/>
                          </w:tcPr>
                          <w:p>
                            <w:pPr>
                              <w:bidi w:val="0"/>
                              <w:jc w:val="center"/>
                            </w:pPr>
                            <w:r>
                              <w:t>资格评审标准</w:t>
                            </w:r>
                          </w:p>
                        </w:tc>
                        <w:tc>
                          <w:tcPr>
                            <w:tcW w:w="6849" w:type="dxa"/>
                          </w:tcPr>
                          <w:p>
                            <w:pPr>
                              <w:pStyle w:val="29"/>
                              <w:spacing w:before="83" w:line="310" w:lineRule="atLeast"/>
                              <w:ind w:left="111" w:right="45"/>
                              <w:rPr>
                                <w:sz w:val="21"/>
                              </w:rPr>
                            </w:pPr>
                            <w:r>
                              <w:t>详见“第三章评标办法（综合评估法）”中评标办法前附表2.1.2资格评审标准的要求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2.1.3</w:t>
                            </w:r>
                          </w:p>
                        </w:tc>
                        <w:tc>
                          <w:tcPr>
                            <w:tcW w:w="1611" w:type="dxa"/>
                            <w:vAlign w:val="center"/>
                          </w:tcPr>
                          <w:p>
                            <w:pPr>
                              <w:bidi w:val="0"/>
                              <w:jc w:val="center"/>
                            </w:pPr>
                            <w:r>
                              <w:t>响应性评审标准</w:t>
                            </w:r>
                          </w:p>
                        </w:tc>
                        <w:tc>
                          <w:tcPr>
                            <w:tcW w:w="6849" w:type="dxa"/>
                          </w:tcPr>
                          <w:p>
                            <w:pPr>
                              <w:pStyle w:val="29"/>
                              <w:spacing w:before="81" w:line="310" w:lineRule="atLeast"/>
                              <w:ind w:left="111" w:right="77"/>
                              <w:rPr>
                                <w:sz w:val="21"/>
                              </w:rPr>
                            </w:pPr>
                            <w:r>
                              <w:t>详见“第三章评标办法（综合评估法）”中评标办法前附表2.1.3响应性评审标准的要求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78" w:type="dxa"/>
                            <w:vAlign w:val="center"/>
                          </w:tcPr>
                          <w:p>
                            <w:pPr>
                              <w:bidi w:val="0"/>
                              <w:jc w:val="center"/>
                            </w:pPr>
                            <w:r>
                              <w:t>3.1.1</w:t>
                            </w:r>
                          </w:p>
                        </w:tc>
                        <w:tc>
                          <w:tcPr>
                            <w:tcW w:w="1611" w:type="dxa"/>
                            <w:vAlign w:val="center"/>
                          </w:tcPr>
                          <w:p>
                            <w:pPr>
                              <w:bidi w:val="0"/>
                              <w:jc w:val="center"/>
                            </w:pPr>
                            <w:r>
                              <w:t>评标程序</w:t>
                            </w:r>
                          </w:p>
                        </w:tc>
                        <w:tc>
                          <w:tcPr>
                            <w:tcW w:w="6849" w:type="dxa"/>
                          </w:tcPr>
                          <w:p>
                            <w:pPr>
                              <w:pStyle w:val="29"/>
                              <w:spacing w:before="83" w:line="310" w:lineRule="atLeast"/>
                              <w:ind w:left="111" w:right="45"/>
                              <w:rPr>
                                <w:sz w:val="21"/>
                              </w:rPr>
                            </w:pPr>
                            <w:r>
                              <w:t>详见“第三章评标办法（综合评估法）”中“3.评审程序”中的3.1.1的要求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3.1.2</w:t>
                            </w:r>
                          </w:p>
                        </w:tc>
                        <w:tc>
                          <w:tcPr>
                            <w:tcW w:w="1611" w:type="dxa"/>
                            <w:vAlign w:val="center"/>
                          </w:tcPr>
                          <w:p>
                            <w:pPr>
                              <w:bidi w:val="0"/>
                              <w:jc w:val="center"/>
                            </w:pPr>
                            <w:r>
                              <w:t>评标程序</w:t>
                            </w:r>
                          </w:p>
                        </w:tc>
                        <w:tc>
                          <w:tcPr>
                            <w:tcW w:w="6849" w:type="dxa"/>
                          </w:tcPr>
                          <w:p>
                            <w:pPr>
                              <w:pStyle w:val="29"/>
                              <w:spacing w:before="81" w:line="310" w:lineRule="atLeast"/>
                              <w:ind w:left="111" w:right="45"/>
                              <w:rPr>
                                <w:sz w:val="21"/>
                              </w:rPr>
                            </w:pPr>
                            <w:r>
                              <w:t>详见“第三章评标办法（综合评估法）”中“3.评审程序”中的3.1.2的要求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78" w:type="dxa"/>
                            <w:vAlign w:val="center"/>
                          </w:tcPr>
                          <w:p>
                            <w:pPr>
                              <w:bidi w:val="0"/>
                              <w:jc w:val="center"/>
                            </w:pPr>
                            <w:r>
                              <w:t>3.1.3</w:t>
                            </w:r>
                          </w:p>
                        </w:tc>
                        <w:tc>
                          <w:tcPr>
                            <w:tcW w:w="1611" w:type="dxa"/>
                            <w:vAlign w:val="center"/>
                          </w:tcPr>
                          <w:p>
                            <w:pPr>
                              <w:bidi w:val="0"/>
                              <w:jc w:val="center"/>
                            </w:pPr>
                            <w:r>
                              <w:t>评标程序</w:t>
                            </w:r>
                          </w:p>
                        </w:tc>
                        <w:tc>
                          <w:tcPr>
                            <w:tcW w:w="6849" w:type="dxa"/>
                          </w:tcPr>
                          <w:p>
                            <w:pPr>
                              <w:pStyle w:val="29"/>
                              <w:spacing w:before="83" w:line="310" w:lineRule="atLeast"/>
                              <w:ind w:left="111" w:right="45"/>
                              <w:rPr>
                                <w:sz w:val="21"/>
                              </w:rPr>
                            </w:pPr>
                            <w:r>
                              <w:t>详见“第三章评标办法（综合评估法）”中“3.评审程序”中的3.1.3的要求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3.1.4</w:t>
                            </w:r>
                          </w:p>
                        </w:tc>
                        <w:tc>
                          <w:tcPr>
                            <w:tcW w:w="1611" w:type="dxa"/>
                            <w:vAlign w:val="center"/>
                          </w:tcPr>
                          <w:p>
                            <w:pPr>
                              <w:bidi w:val="0"/>
                              <w:jc w:val="center"/>
                            </w:pPr>
                            <w:r>
                              <w:t>评标程序</w:t>
                            </w:r>
                          </w:p>
                        </w:tc>
                        <w:tc>
                          <w:tcPr>
                            <w:tcW w:w="6849" w:type="dxa"/>
                          </w:tcPr>
                          <w:p>
                            <w:pPr>
                              <w:pStyle w:val="29"/>
                              <w:spacing w:before="81" w:line="310" w:lineRule="atLeast"/>
                              <w:ind w:left="111" w:right="45"/>
                              <w:rPr>
                                <w:sz w:val="21"/>
                              </w:rPr>
                            </w:pPr>
                            <w:r>
                              <w:t>详见“第三章评标办法（综合评估法）”中“3.评审程序”中的3.1.4的要求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8" w:type="dxa"/>
                            <w:vAlign w:val="center"/>
                          </w:tcPr>
                          <w:p>
                            <w:pPr>
                              <w:bidi w:val="0"/>
                              <w:jc w:val="center"/>
                            </w:pPr>
                            <w:r>
                              <w:t>3.1.5</w:t>
                            </w:r>
                          </w:p>
                        </w:tc>
                        <w:tc>
                          <w:tcPr>
                            <w:tcW w:w="1611" w:type="dxa"/>
                            <w:vAlign w:val="center"/>
                          </w:tcPr>
                          <w:p>
                            <w:pPr>
                              <w:bidi w:val="0"/>
                              <w:jc w:val="center"/>
                            </w:pPr>
                            <w:r>
                              <w:t>评标程序</w:t>
                            </w:r>
                          </w:p>
                        </w:tc>
                        <w:tc>
                          <w:tcPr>
                            <w:tcW w:w="6849" w:type="dxa"/>
                          </w:tcPr>
                          <w:p>
                            <w:pPr>
                              <w:pStyle w:val="29"/>
                              <w:spacing w:before="81" w:line="310" w:lineRule="atLeast"/>
                              <w:ind w:left="111" w:right="45"/>
                              <w:rPr>
                                <w:sz w:val="21"/>
                              </w:rPr>
                            </w:pPr>
                            <w:r>
                              <w:t>详见“第三章评标办法（综合评估法）”中“3.评审程序”中的3.1.5的要求</w:t>
                            </w:r>
                          </w:p>
                        </w:tc>
                      </w:tr>
                    </w:tbl>
                    <w:p>
                      <w:pPr>
                        <w:pStyle w:val="14"/>
                      </w:pPr>
                    </w:p>
                  </w:txbxContent>
                </v:textbox>
              </v:shape>
            </w:pict>
          </mc:Fallback>
        </mc:AlternateContent>
      </w:r>
      <w:r>
        <w:rPr>
          <w:b/>
          <w:color w:val="auto"/>
          <w:spacing w:val="-5"/>
          <w:w w:val="95"/>
          <w:sz w:val="21"/>
          <w:highlight w:val="none"/>
        </w:rPr>
        <w:t>声明：以下所列条款为本招标文件的否决投标条款一览表，投标人应自行仔细阅读，自行查</w:t>
      </w:r>
      <w:r>
        <w:rPr>
          <w:b/>
          <w:color w:val="auto"/>
          <w:spacing w:val="-5"/>
          <w:sz w:val="21"/>
          <w:highlight w:val="none"/>
        </w:rPr>
        <w:t>阅对应条款，否则责任自负。</w:t>
      </w:r>
    </w:p>
    <w:p>
      <w:pPr>
        <w:spacing w:after="0" w:line="417" w:lineRule="auto"/>
        <w:jc w:val="left"/>
        <w:rPr>
          <w:color w:val="auto"/>
          <w:sz w:val="21"/>
          <w:highlight w:val="none"/>
        </w:rPr>
        <w:sectPr>
          <w:pgSz w:w="11910" w:h="16840"/>
          <w:pgMar w:top="1480" w:right="600" w:bottom="1240" w:left="860" w:header="0" w:footer="979" w:gutter="0"/>
          <w:pgBorders>
            <w:top w:val="none" w:sz="0" w:space="0"/>
            <w:left w:val="none" w:sz="0" w:space="0"/>
            <w:bottom w:val="none" w:sz="0" w:space="0"/>
            <w:right w:val="none" w:sz="0" w:space="0"/>
          </w:pgBorders>
          <w:pgNumType w:fmt="decimal"/>
          <w:cols w:space="720" w:num="1"/>
        </w:sectPr>
      </w:pPr>
    </w:p>
    <w:p>
      <w:pPr>
        <w:pStyle w:val="3"/>
        <w:spacing w:before="28"/>
        <w:ind w:right="284"/>
        <w:outlineLvl w:val="0"/>
        <w:rPr>
          <w:color w:val="auto"/>
          <w:highlight w:val="none"/>
        </w:rPr>
      </w:pPr>
      <w:bookmarkStart w:id="6" w:name="_TOC_250003"/>
      <w:bookmarkEnd w:id="6"/>
      <w:bookmarkStart w:id="7" w:name="_Toc3694"/>
      <w:r>
        <w:rPr>
          <w:color w:val="auto"/>
          <w:highlight w:val="none"/>
        </w:rPr>
        <w:t>第四章 合同条款及格式</w:t>
      </w:r>
      <w:bookmarkEnd w:id="7"/>
    </w:p>
    <w:p>
      <w:pPr>
        <w:spacing w:after="0"/>
        <w:rPr>
          <w:color w:val="auto"/>
          <w:highlight w:val="none"/>
        </w:rPr>
      </w:pPr>
    </w:p>
    <w:p>
      <w:pPr>
        <w:rPr>
          <w:rFonts w:ascii="宋体" w:hAnsi="宋体"/>
          <w:color w:val="auto"/>
          <w:highlight w:val="none"/>
        </w:rPr>
      </w:pPr>
    </w:p>
    <w:p>
      <w:pPr>
        <w:widowControl/>
        <w:jc w:val="center"/>
        <w:rPr>
          <w:rFonts w:ascii="宋体" w:hAnsi="宋体"/>
          <w:bCs/>
          <w:color w:val="auto"/>
          <w:sz w:val="32"/>
          <w:szCs w:val="32"/>
          <w:highlight w:val="none"/>
        </w:rPr>
      </w:pPr>
    </w:p>
    <w:p>
      <w:pPr>
        <w:jc w:val="center"/>
        <w:rPr>
          <w:rFonts w:ascii="宋体" w:hAnsi="宋体"/>
          <w:b/>
          <w:color w:val="auto"/>
          <w:sz w:val="52"/>
          <w:szCs w:val="52"/>
          <w:highlight w:val="none"/>
        </w:rPr>
      </w:pPr>
    </w:p>
    <w:p>
      <w:pPr>
        <w:jc w:val="center"/>
        <w:rPr>
          <w:rFonts w:ascii="宋体" w:hAnsi="宋体"/>
          <w:b/>
          <w:color w:val="auto"/>
          <w:sz w:val="52"/>
          <w:szCs w:val="52"/>
          <w:highlight w:val="none"/>
        </w:rPr>
      </w:pPr>
    </w:p>
    <w:p>
      <w:pPr>
        <w:jc w:val="center"/>
        <w:rPr>
          <w:rFonts w:ascii="宋体" w:hAnsi="宋体"/>
          <w:b/>
          <w:color w:val="auto"/>
          <w:sz w:val="52"/>
          <w:szCs w:val="52"/>
          <w:highlight w:val="none"/>
        </w:rPr>
      </w:pPr>
    </w:p>
    <w:p>
      <w:pPr>
        <w:jc w:val="center"/>
        <w:rPr>
          <w:rFonts w:ascii="宋体" w:hAnsi="宋体"/>
          <w:b/>
          <w:color w:val="auto"/>
          <w:sz w:val="52"/>
          <w:szCs w:val="52"/>
          <w:highlight w:val="none"/>
        </w:rPr>
      </w:pPr>
    </w:p>
    <w:p>
      <w:pPr>
        <w:jc w:val="center"/>
        <w:rPr>
          <w:rFonts w:hint="eastAsia" w:ascii="宋体" w:hAnsi="宋体" w:eastAsia="宋体"/>
          <w:b/>
          <w:color w:val="auto"/>
          <w:sz w:val="72"/>
          <w:szCs w:val="52"/>
          <w:highlight w:val="none"/>
          <w:lang w:eastAsia="zh-CN"/>
        </w:rPr>
      </w:pPr>
      <w:r>
        <w:rPr>
          <w:rFonts w:ascii="宋体" w:hAnsi="宋体"/>
          <w:b/>
          <w:color w:val="auto"/>
          <w:sz w:val="72"/>
          <w:szCs w:val="52"/>
          <w:highlight w:val="none"/>
        </w:rPr>
        <w:t>建设工程施工合同</w:t>
      </w:r>
    </w:p>
    <w:p>
      <w:pPr>
        <w:pStyle w:val="12"/>
        <w:rPr>
          <w:rFonts w:hint="eastAsia"/>
          <w:lang w:eastAsia="zh-CN"/>
        </w:rPr>
      </w:pPr>
    </w:p>
    <w:p>
      <w:pPr>
        <w:jc w:val="center"/>
        <w:rPr>
          <w:rFonts w:ascii="宋体" w:hAnsi="宋体"/>
          <w:b/>
          <w:color w:val="auto"/>
          <w:sz w:val="52"/>
          <w:szCs w:val="52"/>
          <w:highlight w:val="none"/>
        </w:rPr>
      </w:pPr>
    </w:p>
    <w:p>
      <w:pPr>
        <w:jc w:val="center"/>
        <w:rPr>
          <w:rFonts w:ascii="宋体" w:hAnsi="宋体"/>
          <w:b/>
          <w:color w:val="auto"/>
          <w:sz w:val="72"/>
          <w:szCs w:val="72"/>
          <w:highlight w:val="none"/>
        </w:rPr>
      </w:pPr>
    </w:p>
    <w:p>
      <w:pPr>
        <w:jc w:val="center"/>
        <w:rPr>
          <w:rFonts w:ascii="宋体" w:hAnsi="宋体"/>
          <w:b/>
          <w:color w:val="auto"/>
          <w:sz w:val="72"/>
          <w:szCs w:val="72"/>
          <w:highlight w:val="none"/>
        </w:rPr>
      </w:pPr>
    </w:p>
    <w:p>
      <w:pPr>
        <w:jc w:val="center"/>
        <w:rPr>
          <w:rFonts w:ascii="宋体" w:hAnsi="宋体"/>
          <w:b/>
          <w:color w:val="auto"/>
          <w:sz w:val="72"/>
          <w:szCs w:val="72"/>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spacing w:line="400" w:lineRule="exact"/>
        <w:ind w:right="420"/>
        <w:jc w:val="center"/>
        <w:rPr>
          <w:rFonts w:ascii="宋体" w:hAnsi="宋体"/>
          <w:b/>
          <w:bCs/>
          <w:color w:val="auto"/>
          <w:sz w:val="28"/>
          <w:szCs w:val="28"/>
          <w:highlight w:val="none"/>
        </w:rPr>
      </w:pPr>
      <w:r>
        <w:rPr>
          <w:rFonts w:ascii="宋体" w:hAnsi="宋体"/>
          <w:color w:val="auto"/>
          <w:highlight w:val="none"/>
        </w:rPr>
        <w:br w:type="page"/>
      </w:r>
      <w:bookmarkStart w:id="8" w:name="_Toc500157571"/>
      <w:r>
        <w:rPr>
          <w:rFonts w:ascii="宋体" w:hAnsi="宋体"/>
          <w:b/>
          <w:bCs/>
          <w:color w:val="auto"/>
          <w:sz w:val="28"/>
          <w:szCs w:val="28"/>
          <w:highlight w:val="none"/>
        </w:rPr>
        <w:t>第一部分 合同协议书</w:t>
      </w:r>
      <w:bookmarkEnd w:id="8"/>
    </w:p>
    <w:p>
      <w:pPr>
        <w:spacing w:line="400" w:lineRule="exact"/>
        <w:rPr>
          <w:rFonts w:hint="eastAsia" w:ascii="宋体" w:hAnsi="宋体" w:eastAsia="宋体"/>
          <w:b/>
          <w:color w:val="auto"/>
          <w:szCs w:val="21"/>
          <w:highlight w:val="none"/>
          <w:u w:val="single"/>
          <w:lang w:eastAsia="zh-CN"/>
        </w:rPr>
      </w:pPr>
      <w:r>
        <w:rPr>
          <w:rFonts w:ascii="宋体" w:hAnsi="宋体"/>
          <w:b/>
          <w:color w:val="auto"/>
          <w:szCs w:val="21"/>
          <w:highlight w:val="none"/>
        </w:rPr>
        <w:t>发包人（全称）：</w:t>
      </w:r>
      <w:r>
        <w:rPr>
          <w:rFonts w:hint="eastAsia" w:cs="宋体"/>
          <w:b/>
          <w:color w:val="auto"/>
          <w:szCs w:val="21"/>
          <w:highlight w:val="none"/>
          <w:u w:val="single"/>
          <w:lang w:eastAsia="zh-CN"/>
        </w:rPr>
        <w:t>云浮美神养殖有限公司</w:t>
      </w:r>
    </w:p>
    <w:p>
      <w:pPr>
        <w:spacing w:line="400" w:lineRule="exact"/>
        <w:rPr>
          <w:rFonts w:ascii="宋体" w:hAnsi="宋体"/>
          <w:b/>
          <w:color w:val="auto"/>
          <w:szCs w:val="21"/>
          <w:highlight w:val="none"/>
          <w:u w:val="single"/>
        </w:rPr>
      </w:pPr>
      <w:r>
        <w:rPr>
          <w:rFonts w:ascii="宋体" w:hAnsi="宋体"/>
          <w:b/>
          <w:color w:val="auto"/>
          <w:szCs w:val="21"/>
          <w:highlight w:val="none"/>
        </w:rPr>
        <w:t>承包人（全称）：</w:t>
      </w:r>
      <w:r>
        <w:rPr>
          <w:rFonts w:hint="eastAsia" w:ascii="宋体" w:hAnsi="宋体" w:cs="宋体"/>
          <w:b/>
          <w:color w:val="auto"/>
          <w:szCs w:val="21"/>
          <w:highlight w:val="none"/>
          <w:u w:val="single"/>
        </w:rPr>
        <w:t>  </w:t>
      </w:r>
      <w:r>
        <w:rPr>
          <w:rFonts w:hint="eastAsia" w:cs="宋体"/>
          <w:b/>
          <w:color w:val="auto"/>
          <w:szCs w:val="21"/>
          <w:highlight w:val="none"/>
          <w:u w:val="single"/>
          <w:lang w:val="en-US" w:eastAsia="zh-CN"/>
        </w:rPr>
        <w:t xml:space="preserve">      </w:t>
      </w:r>
      <w:r>
        <w:rPr>
          <w:rFonts w:hint="eastAsia" w:ascii="宋体" w:hAnsi="宋体" w:cs="宋体"/>
          <w:b/>
          <w:color w:val="auto"/>
          <w:szCs w:val="21"/>
          <w:highlight w:val="none"/>
          <w:u w:val="singl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根据《中华人民共和国</w:t>
      </w:r>
      <w:r>
        <w:rPr>
          <w:rFonts w:hint="eastAsia"/>
          <w:color w:val="auto"/>
          <w:szCs w:val="21"/>
          <w:highlight w:val="none"/>
          <w:lang w:val="en-US" w:eastAsia="zh-CN"/>
        </w:rPr>
        <w:t>民法典</w:t>
      </w:r>
      <w:r>
        <w:rPr>
          <w:rFonts w:ascii="宋体" w:hAnsi="宋体"/>
          <w:color w:val="auto"/>
          <w:szCs w:val="21"/>
          <w:highlight w:val="none"/>
        </w:rPr>
        <w:t>》、《中华人民共和国建筑法》及有关法律规定，遵循平等、自愿、公平和诚实信用的原则，双方就工程施工及有关事项协商一致</w:t>
      </w:r>
      <w:r>
        <w:rPr>
          <w:rFonts w:hint="eastAsia" w:ascii="宋体" w:hAnsi="宋体"/>
          <w:color w:val="auto"/>
          <w:szCs w:val="21"/>
          <w:highlight w:val="none"/>
        </w:rPr>
        <w:t>，</w:t>
      </w:r>
      <w:r>
        <w:rPr>
          <w:rFonts w:ascii="宋体" w:hAnsi="宋体"/>
          <w:color w:val="auto"/>
          <w:szCs w:val="21"/>
          <w:highlight w:val="none"/>
        </w:rPr>
        <w:t>共同达成如下协议：</w:t>
      </w:r>
    </w:p>
    <w:p>
      <w:pPr>
        <w:pStyle w:val="6"/>
        <w:spacing w:before="120" w:after="120" w:line="400" w:lineRule="exact"/>
        <w:jc w:val="both"/>
        <w:rPr>
          <w:rFonts w:ascii="宋体" w:hAnsi="宋体"/>
          <w:bCs w:val="0"/>
          <w:color w:val="auto"/>
          <w:sz w:val="21"/>
          <w:szCs w:val="21"/>
          <w:highlight w:val="none"/>
        </w:rPr>
      </w:pPr>
      <w:bookmarkStart w:id="9" w:name="_Toc500157572"/>
      <w:r>
        <w:rPr>
          <w:rFonts w:ascii="宋体" w:hAnsi="宋体"/>
          <w:b w:val="0"/>
          <w:color w:val="auto"/>
          <w:sz w:val="21"/>
          <w:szCs w:val="21"/>
          <w:highlight w:val="none"/>
        </w:rPr>
        <w:t>一、工程概况</w:t>
      </w:r>
      <w:bookmarkEnd w:id="9"/>
    </w:p>
    <w:p>
      <w:pPr>
        <w:pStyle w:val="29"/>
        <w:spacing w:before="43" w:line="278" w:lineRule="auto"/>
        <w:ind w:left="312" w:right="504"/>
        <w:rPr>
          <w:rFonts w:ascii="宋体" w:hAnsi="宋体"/>
          <w:color w:val="auto"/>
          <w:szCs w:val="21"/>
          <w:highlight w:val="none"/>
          <w:u w:val="single"/>
        </w:rPr>
      </w:pPr>
      <w:r>
        <w:rPr>
          <w:rFonts w:ascii="宋体" w:hAnsi="宋体"/>
          <w:bCs/>
          <w:color w:val="auto"/>
          <w:szCs w:val="21"/>
          <w:highlight w:val="none"/>
        </w:rPr>
        <w:t>1.工程名称</w:t>
      </w:r>
      <w:r>
        <w:rPr>
          <w:rFonts w:hint="eastAsia"/>
          <w:bCs/>
          <w:color w:val="auto"/>
          <w:szCs w:val="21"/>
          <w:highlight w:val="none"/>
          <w:lang w:val="en-US" w:eastAsia="zh-CN"/>
        </w:rPr>
        <w:t>及编号</w:t>
      </w:r>
      <w:r>
        <w:rPr>
          <w:rFonts w:ascii="宋体" w:hAnsi="宋体"/>
          <w:color w:val="auto"/>
          <w:szCs w:val="21"/>
          <w:highlight w:val="none"/>
        </w:rPr>
        <w:t>：</w:t>
      </w:r>
      <w:r>
        <w:rPr>
          <w:rFonts w:hint="eastAsia" w:cs="宋体"/>
          <w:color w:val="auto"/>
          <w:szCs w:val="21"/>
          <w:highlight w:val="none"/>
          <w:u w:val="single"/>
          <w:lang w:eastAsia="zh-CN"/>
        </w:rPr>
        <w:t>云安区生猪产业园—优质生猪标准化规模养殖基地项目（</w:t>
      </w:r>
      <w:r>
        <w:rPr>
          <w:rFonts w:hint="eastAsia" w:cs="宋体"/>
          <w:color w:val="auto"/>
          <w:szCs w:val="21"/>
          <w:highlight w:val="none"/>
          <w:u w:val="single"/>
          <w:lang w:val="en-US" w:eastAsia="zh-CN"/>
        </w:rPr>
        <w:t>GDXJ2022GGK3037</w:t>
      </w:r>
      <w:r>
        <w:rPr>
          <w:rFonts w:hint="eastAsia" w:cs="宋体"/>
          <w:color w:val="auto"/>
          <w:szCs w:val="21"/>
          <w:highlight w:val="none"/>
          <w:u w:val="single"/>
          <w:lang w:eastAsia="zh-CN"/>
        </w:rPr>
        <w:t>）</w:t>
      </w:r>
      <w:r>
        <w:rPr>
          <w:rFonts w:ascii="宋体" w:hAnsi="宋体"/>
          <w:color w:val="auto"/>
          <w:szCs w:val="21"/>
          <w:highlight w:val="none"/>
        </w:rPr>
        <w:t>。</w:t>
      </w:r>
    </w:p>
    <w:p>
      <w:pPr>
        <w:spacing w:line="400" w:lineRule="exact"/>
        <w:ind w:firstLine="431" w:firstLineChars="196"/>
        <w:rPr>
          <w:rFonts w:ascii="宋体" w:hAnsi="宋体"/>
          <w:bCs/>
          <w:color w:val="auto"/>
          <w:szCs w:val="21"/>
          <w:highlight w:val="none"/>
        </w:rPr>
      </w:pPr>
      <w:r>
        <w:rPr>
          <w:rFonts w:ascii="宋体" w:hAnsi="宋体"/>
          <w:bCs/>
          <w:color w:val="auto"/>
          <w:szCs w:val="21"/>
          <w:highlight w:val="none"/>
        </w:rPr>
        <w:t>2.工程地点：</w:t>
      </w:r>
      <w:r>
        <w:rPr>
          <w:rFonts w:hint="eastAsia" w:cs="宋体"/>
          <w:color w:val="auto"/>
          <w:szCs w:val="21"/>
          <w:highlight w:val="none"/>
          <w:u w:val="single"/>
          <w:lang w:val="en-US" w:eastAsia="zh-CN"/>
        </w:rPr>
        <w:t xml:space="preserve">                          </w:t>
      </w:r>
      <w:r>
        <w:rPr>
          <w:rFonts w:ascii="宋体" w:hAnsi="宋体"/>
          <w:color w:val="auto"/>
          <w:szCs w:val="21"/>
          <w:highlight w:val="none"/>
        </w:rPr>
        <w:t>。</w:t>
      </w:r>
    </w:p>
    <w:p>
      <w:pPr>
        <w:spacing w:line="400" w:lineRule="exact"/>
        <w:ind w:firstLine="431" w:firstLineChars="196"/>
        <w:rPr>
          <w:rFonts w:ascii="宋体" w:hAnsi="宋体"/>
          <w:bCs/>
          <w:color w:val="auto"/>
          <w:szCs w:val="21"/>
          <w:highlight w:val="none"/>
        </w:rPr>
      </w:pPr>
      <w:r>
        <w:rPr>
          <w:rFonts w:ascii="宋体" w:hAnsi="宋体"/>
          <w:bCs/>
          <w:color w:val="auto"/>
          <w:szCs w:val="21"/>
          <w:highlight w:val="none"/>
        </w:rPr>
        <w:t>3.工程立项批准文号：</w:t>
      </w:r>
      <w:r>
        <w:rPr>
          <w:rFonts w:hint="eastAsia" w:cs="宋体"/>
          <w:color w:val="auto"/>
          <w:szCs w:val="21"/>
          <w:highlight w:val="none"/>
          <w:u w:val="single"/>
          <w:lang w:val="en-US" w:eastAsia="zh-CN"/>
        </w:rPr>
        <w:t xml:space="preserve">                   </w:t>
      </w:r>
      <w:r>
        <w:rPr>
          <w:rFonts w:ascii="宋体" w:hAnsi="宋体"/>
          <w:bCs/>
          <w:color w:val="auto"/>
          <w:szCs w:val="21"/>
          <w:highlight w:val="none"/>
        </w:rPr>
        <w:t>。</w:t>
      </w:r>
    </w:p>
    <w:p>
      <w:pPr>
        <w:spacing w:line="400" w:lineRule="exact"/>
        <w:ind w:firstLine="431" w:firstLineChars="196"/>
        <w:rPr>
          <w:rFonts w:ascii="宋体" w:hAnsi="宋体"/>
          <w:bCs/>
          <w:color w:val="auto"/>
          <w:szCs w:val="21"/>
          <w:highlight w:val="none"/>
        </w:rPr>
      </w:pPr>
      <w:r>
        <w:rPr>
          <w:rFonts w:ascii="宋体" w:hAnsi="宋体"/>
          <w:bCs/>
          <w:color w:val="auto"/>
          <w:szCs w:val="21"/>
          <w:highlight w:val="none"/>
        </w:rPr>
        <w:t>4.资金来源：</w:t>
      </w:r>
      <w:r>
        <w:rPr>
          <w:rFonts w:hint="eastAsia" w:ascii="宋体" w:hAnsi="宋体" w:cs="宋体"/>
          <w:color w:val="auto"/>
          <w:szCs w:val="21"/>
          <w:highlight w:val="none"/>
          <w:u w:val="single"/>
        </w:rPr>
        <w:t>通过自有资金以及融资方式解决</w:t>
      </w:r>
      <w:r>
        <w:rPr>
          <w:rFonts w:ascii="宋体" w:hAnsi="宋体"/>
          <w:bCs/>
          <w:color w:val="auto"/>
          <w:szCs w:val="21"/>
          <w:highlight w:val="none"/>
        </w:rPr>
        <w:t>。</w:t>
      </w:r>
    </w:p>
    <w:p>
      <w:pPr>
        <w:spacing w:line="400" w:lineRule="exact"/>
        <w:ind w:firstLine="431" w:firstLineChars="196"/>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s="宋体"/>
          <w:color w:val="auto"/>
          <w:szCs w:val="21"/>
          <w:highlight w:val="none"/>
          <w:u w:val="single"/>
        </w:rPr>
        <w:t>本工程用地范围面积为</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平方米</w:t>
      </w:r>
      <w:r>
        <w:rPr>
          <w:rFonts w:ascii="宋体" w:hAnsi="宋体"/>
          <w:bCs/>
          <w:color w:val="auto"/>
          <w:szCs w:val="21"/>
          <w:highlight w:val="none"/>
        </w:rPr>
        <w:t>。</w:t>
      </w:r>
    </w:p>
    <w:p>
      <w:pPr>
        <w:spacing w:line="400" w:lineRule="exact"/>
        <w:ind w:firstLine="431" w:firstLineChars="196"/>
        <w:rPr>
          <w:rFonts w:ascii="宋体" w:hAnsi="宋体"/>
          <w:bCs/>
          <w:color w:val="auto"/>
          <w:szCs w:val="21"/>
          <w:highlight w:val="none"/>
        </w:rPr>
      </w:pPr>
      <w:r>
        <w:rPr>
          <w:rFonts w:hint="eastAsia" w:ascii="宋体" w:hAnsi="宋体"/>
          <w:color w:val="auto"/>
          <w:szCs w:val="21"/>
          <w:highlight w:val="none"/>
        </w:rPr>
        <w:t>群体工程应附《</w:t>
      </w:r>
      <w:r>
        <w:rPr>
          <w:rFonts w:ascii="宋体" w:hAnsi="宋体"/>
          <w:color w:val="auto"/>
          <w:szCs w:val="21"/>
          <w:highlight w:val="none"/>
        </w:rPr>
        <w:t>承包人承揽工程项目一览表</w:t>
      </w:r>
      <w:r>
        <w:rPr>
          <w:rFonts w:hint="eastAsia" w:ascii="宋体" w:hAnsi="宋体"/>
          <w:color w:val="auto"/>
          <w:szCs w:val="21"/>
          <w:highlight w:val="none"/>
        </w:rPr>
        <w:t>》（附件1）。</w:t>
      </w:r>
    </w:p>
    <w:p>
      <w:pPr>
        <w:spacing w:line="400" w:lineRule="exact"/>
        <w:ind w:firstLine="431" w:firstLineChars="196"/>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.工程承包范围：</w:t>
      </w:r>
      <w:r>
        <w:rPr>
          <w:rFonts w:hint="eastAsia" w:ascii="宋体" w:hAnsi="宋体" w:cs="宋体"/>
          <w:color w:val="auto"/>
          <w:szCs w:val="21"/>
          <w:highlight w:val="none"/>
          <w:u w:val="single"/>
        </w:rPr>
        <w:t>按工程功能需求和建设内容总承包施工，包工、包料、包机械、包工期、包质量、包安全生产、包文明施工、包劳保、包安装、包调试、包验收、包保修等，具体工程项目内容按施工图纸及工程量清单</w:t>
      </w:r>
      <w:r>
        <w:rPr>
          <w:rFonts w:ascii="宋体" w:hAnsi="宋体"/>
          <w:color w:val="auto"/>
          <w:szCs w:val="21"/>
          <w:highlight w:val="none"/>
        </w:rPr>
        <w:t>。</w:t>
      </w:r>
    </w:p>
    <w:p>
      <w:pPr>
        <w:spacing w:line="360" w:lineRule="auto"/>
        <w:rPr>
          <w:rFonts w:ascii="宋体" w:hAnsi="宋体"/>
          <w:bCs/>
          <w:color w:val="auto"/>
          <w:szCs w:val="21"/>
          <w:highlight w:val="none"/>
        </w:rPr>
      </w:pPr>
      <w:bookmarkStart w:id="10" w:name="_Toc500157573"/>
      <w:r>
        <w:rPr>
          <w:rFonts w:hint="eastAsia" w:ascii="宋体" w:hAnsi="宋体"/>
          <w:bCs/>
          <w:color w:val="auto"/>
          <w:szCs w:val="21"/>
          <w:highlight w:val="none"/>
        </w:rPr>
        <w:t>二、合同工期</w:t>
      </w:r>
      <w:bookmarkEnd w:id="10"/>
    </w:p>
    <w:p>
      <w:pPr>
        <w:spacing w:line="360" w:lineRule="auto"/>
        <w:ind w:firstLine="431" w:firstLineChars="196"/>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cs="宋体"/>
          <w:bCs/>
          <w:color w:val="auto"/>
          <w:szCs w:val="21"/>
          <w:highlight w:val="none"/>
          <w:u w:val="single"/>
        </w:rPr>
        <w:t>202</w:t>
      </w:r>
      <w:r>
        <w:rPr>
          <w:rFonts w:hint="eastAsia" w:cs="宋体"/>
          <w:bCs/>
          <w:color w:val="auto"/>
          <w:szCs w:val="21"/>
          <w:highlight w:val="none"/>
          <w:u w:val="single"/>
          <w:lang w:val="en-US" w:eastAsia="zh-CN"/>
        </w:rPr>
        <w:t>2</w:t>
      </w:r>
      <w:r>
        <w:rPr>
          <w:rFonts w:hint="eastAsia" w:ascii="宋体" w:hAnsi="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bCs/>
          <w:color w:val="auto"/>
          <w:szCs w:val="21"/>
          <w:highlight w:val="none"/>
        </w:rPr>
        <w:t>日。</w:t>
      </w:r>
    </w:p>
    <w:p>
      <w:pPr>
        <w:spacing w:line="360" w:lineRule="auto"/>
        <w:ind w:firstLine="431" w:firstLineChars="196"/>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cs="宋体"/>
          <w:bCs/>
          <w:color w:val="auto"/>
          <w:szCs w:val="21"/>
          <w:highlight w:val="none"/>
          <w:u w:val="single"/>
        </w:rPr>
        <w:t>202</w:t>
      </w:r>
      <w:r>
        <w:rPr>
          <w:rFonts w:hint="eastAsia" w:cs="宋体"/>
          <w:bCs/>
          <w:color w:val="auto"/>
          <w:szCs w:val="21"/>
          <w:highlight w:val="none"/>
          <w:u w:val="single"/>
          <w:lang w:val="en-US" w:eastAsia="zh-CN"/>
        </w:rPr>
        <w:t>2</w:t>
      </w:r>
      <w:r>
        <w:rPr>
          <w:rFonts w:hint="eastAsia" w:ascii="宋体" w:hAnsi="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bCs/>
          <w:color w:val="auto"/>
          <w:szCs w:val="21"/>
          <w:highlight w:val="none"/>
        </w:rPr>
        <w:t>日。</w:t>
      </w:r>
    </w:p>
    <w:p>
      <w:pPr>
        <w:spacing w:line="360" w:lineRule="auto"/>
        <w:ind w:firstLine="431" w:firstLineChars="196"/>
        <w:rPr>
          <w:rFonts w:ascii="宋体" w:hAnsi="宋体"/>
          <w:bCs/>
          <w:color w:val="auto"/>
          <w:szCs w:val="21"/>
          <w:highlight w:val="none"/>
        </w:rPr>
      </w:pPr>
      <w:r>
        <w:rPr>
          <w:rFonts w:hint="eastAsia" w:ascii="宋体" w:hAnsi="宋体"/>
          <w:bCs/>
          <w:color w:val="auto"/>
          <w:szCs w:val="21"/>
          <w:highlight w:val="none"/>
        </w:rPr>
        <w:t>工期总日历天数：</w:t>
      </w:r>
      <w:r>
        <w:rPr>
          <w:rFonts w:hint="eastAsia"/>
          <w:bCs/>
          <w:color w:val="auto"/>
          <w:szCs w:val="21"/>
          <w:highlight w:val="none"/>
          <w:u w:val="single"/>
          <w:lang w:val="en-US" w:eastAsia="zh-CN"/>
        </w:rPr>
        <w:t xml:space="preserve">    </w:t>
      </w:r>
      <w:r>
        <w:rPr>
          <w:rFonts w:hint="eastAsia" w:ascii="宋体" w:hAnsi="宋体"/>
          <w:bCs/>
          <w:color w:val="auto"/>
          <w:szCs w:val="21"/>
          <w:highlight w:val="none"/>
        </w:rPr>
        <w:t>个日历天。工期总日历天数与根据前述计划开竣工日期计算的工期天数不一致的，以工期总日历天数为准。开工日期以监理人发出的开工通知指定的开工日期为准；开工通知指定的开工日期起，计算</w:t>
      </w:r>
      <w:r>
        <w:rPr>
          <w:rFonts w:hint="eastAsia" w:ascii="宋体" w:hAnsi="宋体"/>
          <w:bCs/>
          <w:color w:val="auto"/>
          <w:szCs w:val="21"/>
          <w:highlight w:val="none"/>
          <w:lang w:val="en-US" w:eastAsia="zh-CN"/>
        </w:rPr>
        <w:t>40</w:t>
      </w:r>
      <w:r>
        <w:rPr>
          <w:rFonts w:hint="eastAsia" w:ascii="宋体" w:hAnsi="宋体"/>
          <w:bCs/>
          <w:color w:val="auto"/>
          <w:szCs w:val="21"/>
          <w:highlight w:val="none"/>
        </w:rPr>
        <w:t>天为合同约定的竣工日期。</w:t>
      </w:r>
    </w:p>
    <w:p>
      <w:pPr>
        <w:bidi w:val="0"/>
        <w:spacing w:line="360" w:lineRule="auto"/>
      </w:pPr>
      <w:bookmarkStart w:id="11" w:name="_Toc500157574"/>
      <w:r>
        <w:t>三、质量标准</w:t>
      </w:r>
      <w:bookmarkEnd w:id="11"/>
    </w:p>
    <w:p>
      <w:pPr>
        <w:spacing w:line="360" w:lineRule="auto"/>
        <w:ind w:firstLine="459"/>
        <w:rPr>
          <w:rFonts w:ascii="宋体" w:hAnsi="宋体"/>
          <w:color w:val="auto"/>
          <w:szCs w:val="21"/>
          <w:highlight w:val="none"/>
        </w:rPr>
      </w:pPr>
      <w:r>
        <w:rPr>
          <w:rFonts w:ascii="宋体" w:hAnsi="宋体"/>
          <w:color w:val="auto"/>
          <w:szCs w:val="21"/>
          <w:highlight w:val="none"/>
        </w:rPr>
        <w:t>工程质量符合</w:t>
      </w:r>
      <w:r>
        <w:rPr>
          <w:rFonts w:hint="eastAsia" w:ascii="宋体" w:hAnsi="宋体" w:cs="宋体"/>
          <w:color w:val="auto"/>
          <w:szCs w:val="21"/>
          <w:highlight w:val="none"/>
          <w:u w:val="single"/>
        </w:rPr>
        <w:t>《工程质量施工验收规范》</w:t>
      </w:r>
      <w:r>
        <w:rPr>
          <w:rFonts w:ascii="宋体" w:hAnsi="宋体"/>
          <w:color w:val="auto"/>
          <w:szCs w:val="21"/>
          <w:highlight w:val="none"/>
        </w:rPr>
        <w:t>标准。</w:t>
      </w:r>
    </w:p>
    <w:p>
      <w:pPr>
        <w:bidi w:val="0"/>
        <w:spacing w:line="360" w:lineRule="auto"/>
      </w:pPr>
      <w:bookmarkStart w:id="12" w:name="_Toc500157575"/>
      <w:r>
        <w:t>四、签约合同价与合同价格形式</w:t>
      </w:r>
      <w:bookmarkEnd w:id="12"/>
    </w:p>
    <w:p>
      <w:pPr>
        <w:spacing w:line="360" w:lineRule="auto"/>
        <w:ind w:firstLine="440" w:firstLineChars="200"/>
        <w:rPr>
          <w:rFonts w:ascii="宋体" w:hAnsi="宋体"/>
          <w:color w:val="auto"/>
          <w:szCs w:val="21"/>
          <w:highlight w:val="none"/>
          <w:u w:val="single"/>
        </w:rPr>
      </w:pPr>
      <w:r>
        <w:rPr>
          <w:rFonts w:ascii="宋体" w:hAnsi="宋体"/>
          <w:color w:val="auto"/>
          <w:szCs w:val="21"/>
          <w:highlight w:val="none"/>
        </w:rPr>
        <w:t>1.签约合同价为：</w:t>
      </w:r>
      <w:r>
        <w:rPr>
          <w:rFonts w:hint="eastAsia" w:ascii="宋体" w:hAnsi="宋体"/>
          <w:color w:val="auto"/>
          <w:szCs w:val="21"/>
          <w:highlight w:val="none"/>
          <w:u w:val="single"/>
        </w:rPr>
        <w:t xml:space="preserve">         </w:t>
      </w:r>
    </w:p>
    <w:p>
      <w:pPr>
        <w:spacing w:line="360" w:lineRule="auto"/>
        <w:ind w:firstLine="550" w:firstLineChars="250"/>
        <w:rPr>
          <w:rFonts w:ascii="宋体" w:hAnsi="宋体"/>
          <w:color w:val="auto"/>
          <w:szCs w:val="21"/>
          <w:highlight w:val="none"/>
        </w:rPr>
      </w:pPr>
      <w:r>
        <w:rPr>
          <w:rFonts w:ascii="宋体" w:hAnsi="宋体"/>
          <w:color w:val="auto"/>
          <w:szCs w:val="21"/>
          <w:highlight w:val="none"/>
        </w:rPr>
        <w:t>人民币（大写）</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其中：</w:t>
      </w:r>
    </w:p>
    <w:p>
      <w:pPr>
        <w:spacing w:line="360" w:lineRule="auto"/>
        <w:ind w:firstLine="440" w:firstLineChars="200"/>
        <w:rPr>
          <w:rFonts w:hint="eastAsia" w:ascii="宋体" w:hAnsi="宋体" w:eastAsia="宋体"/>
          <w:color w:val="auto"/>
          <w:szCs w:val="21"/>
          <w:highlight w:val="none"/>
          <w:u w:val="single"/>
          <w:lang w:val="en-US" w:eastAsia="zh-CN"/>
        </w:rPr>
      </w:pPr>
      <w:r>
        <w:rPr>
          <w:rFonts w:ascii="宋体" w:hAnsi="宋体"/>
          <w:color w:val="auto"/>
          <w:szCs w:val="21"/>
          <w:highlight w:val="none"/>
        </w:rPr>
        <w:t>（1）</w:t>
      </w:r>
      <w:r>
        <w:rPr>
          <w:rFonts w:hint="eastAsia" w:ascii="宋体" w:hAnsi="宋体"/>
          <w:color w:val="auto"/>
          <w:szCs w:val="21"/>
          <w:highlight w:val="none"/>
        </w:rPr>
        <w:t>绿色施工安全防护措施费</w:t>
      </w:r>
      <w:r>
        <w:rPr>
          <w:rFonts w:ascii="宋体" w:hAnsi="宋体"/>
          <w:color w:val="auto"/>
          <w:szCs w:val="21"/>
          <w:highlight w:val="none"/>
        </w:rPr>
        <w:t>：</w:t>
      </w:r>
      <w:r>
        <w:rPr>
          <w:rFonts w:hint="eastAsia" w:ascii="宋体" w:hAnsi="宋体"/>
          <w:color w:val="auto"/>
          <w:szCs w:val="21"/>
          <w:highlight w:val="none"/>
          <w:u w:val="single"/>
        </w:rPr>
        <w:t>¥</w:t>
      </w:r>
      <w:r>
        <w:rPr>
          <w:rFonts w:hint="eastAsia"/>
          <w:color w:val="auto"/>
          <w:szCs w:val="21"/>
          <w:highlight w:val="none"/>
          <w:u w:val="single"/>
          <w:lang w:val="en-US" w:eastAsia="zh-CN"/>
        </w:rPr>
        <w:t xml:space="preserve">       </w:t>
      </w:r>
      <w:r>
        <w:rPr>
          <w:rFonts w:hint="eastAsia" w:ascii="宋体" w:hAnsi="宋体"/>
          <w:color w:val="auto"/>
          <w:szCs w:val="21"/>
          <w:highlight w:val="none"/>
          <w:u w:val="single"/>
          <w:lang w:val="en-US" w:eastAsia="zh-CN"/>
        </w:rPr>
        <w:t>元</w:t>
      </w:r>
    </w:p>
    <w:p>
      <w:pPr>
        <w:spacing w:line="360" w:lineRule="auto"/>
        <w:ind w:firstLine="990" w:firstLineChars="450"/>
        <w:rPr>
          <w:rFonts w:ascii="宋体" w:hAnsi="宋体"/>
          <w:color w:val="auto"/>
          <w:szCs w:val="21"/>
          <w:highlight w:val="none"/>
        </w:rPr>
      </w:pPr>
      <w:r>
        <w:rPr>
          <w:rFonts w:ascii="宋体" w:hAnsi="宋体"/>
          <w:color w:val="auto"/>
          <w:szCs w:val="21"/>
          <w:highlight w:val="none"/>
        </w:rPr>
        <w:t>人民币（大写）</w:t>
      </w:r>
      <w:r>
        <w:rPr>
          <w:rFonts w:hint="eastAsia"/>
          <w:color w:val="auto"/>
          <w:szCs w:val="21"/>
          <w:highlight w:val="none"/>
          <w:u w:val="single"/>
          <w:lang w:val="en-US" w:eastAsia="zh-CN"/>
        </w:rPr>
        <w:t xml:space="preserve">         </w:t>
      </w:r>
      <w:r>
        <w:rPr>
          <w:rFonts w:ascii="宋体" w:hAnsi="宋体"/>
          <w:color w:val="auto"/>
          <w:szCs w:val="21"/>
          <w:highlight w:val="none"/>
        </w:rPr>
        <w:t xml:space="preserve"> ；</w:t>
      </w:r>
    </w:p>
    <w:p>
      <w:pPr>
        <w:spacing w:line="360" w:lineRule="auto"/>
        <w:ind w:firstLine="440" w:firstLineChars="200"/>
        <w:rPr>
          <w:rFonts w:hint="default" w:ascii="宋体" w:hAnsi="宋体" w:eastAsia="宋体"/>
          <w:color w:val="auto"/>
          <w:szCs w:val="21"/>
          <w:highlight w:val="none"/>
          <w:u w:val="single"/>
          <w:lang w:val="en-US" w:eastAsia="zh-CN"/>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）暂列金额：</w:t>
      </w:r>
      <w:r>
        <w:rPr>
          <w:rFonts w:hint="eastAsia"/>
          <w:color w:val="auto"/>
          <w:szCs w:val="21"/>
          <w:highlight w:val="none"/>
          <w:u w:val="single"/>
          <w:lang w:val="en-US" w:eastAsia="zh-CN"/>
        </w:rPr>
        <w:t xml:space="preserve">             </w:t>
      </w:r>
    </w:p>
    <w:p>
      <w:pPr>
        <w:spacing w:line="360" w:lineRule="auto"/>
        <w:ind w:firstLine="990" w:firstLineChars="450"/>
        <w:rPr>
          <w:rFonts w:ascii="宋体" w:hAnsi="宋体"/>
          <w:color w:val="auto"/>
          <w:szCs w:val="21"/>
          <w:highlight w:val="none"/>
        </w:rPr>
      </w:pPr>
      <w:r>
        <w:rPr>
          <w:rFonts w:ascii="宋体" w:hAnsi="宋体"/>
          <w:color w:val="auto"/>
          <w:szCs w:val="21"/>
          <w:highlight w:val="none"/>
        </w:rPr>
        <w:t>人民币（大写）</w:t>
      </w:r>
      <w:r>
        <w:rPr>
          <w:rFonts w:hint="eastAsia"/>
          <w:color w:val="auto"/>
          <w:szCs w:val="21"/>
          <w:highlight w:val="none"/>
          <w:u w:val="single"/>
          <w:lang w:val="en-US" w:eastAsia="zh-CN"/>
        </w:rPr>
        <w:t xml:space="preserve">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2.合同价格形式：</w:t>
      </w:r>
      <w:r>
        <w:rPr>
          <w:rFonts w:hint="eastAsia" w:ascii="宋体" w:hAnsi="宋体"/>
          <w:color w:val="auto"/>
          <w:szCs w:val="21"/>
          <w:highlight w:val="none"/>
          <w:u w:val="single"/>
          <w:shd w:val="clear" w:color="auto" w:fill="FFFFFF"/>
        </w:rPr>
        <w:t>单价合同</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3.工程结算造价以政府投资审核部门审核的结算造价为准。</w:t>
      </w:r>
    </w:p>
    <w:p>
      <w:pPr>
        <w:bidi w:val="0"/>
        <w:spacing w:line="360" w:lineRule="auto"/>
      </w:pPr>
      <w:bookmarkStart w:id="13" w:name="_Toc500157576"/>
      <w:r>
        <w:t>五、项目经理</w:t>
      </w:r>
      <w:bookmarkEnd w:id="13"/>
    </w:p>
    <w:p>
      <w:pPr>
        <w:spacing w:line="360" w:lineRule="auto"/>
        <w:ind w:firstLine="440" w:firstLineChars="200"/>
        <w:rPr>
          <w:rFonts w:ascii="宋体" w:hAnsi="宋体"/>
          <w:color w:val="auto"/>
          <w:szCs w:val="21"/>
          <w:highlight w:val="none"/>
        </w:rPr>
      </w:pPr>
      <w:r>
        <w:rPr>
          <w:rFonts w:ascii="宋体" w:hAnsi="宋体"/>
          <w:color w:val="auto"/>
          <w:szCs w:val="21"/>
          <w:highlight w:val="none"/>
        </w:rPr>
        <w:t>承包人项目经理：</w:t>
      </w:r>
      <w:r>
        <w:rPr>
          <w:rFonts w:hint="eastAsia" w:ascii="宋体" w:hAnsi="宋体" w:cs="宋体"/>
          <w:color w:val="auto"/>
          <w:szCs w:val="21"/>
          <w:highlight w:val="none"/>
          <w:u w:val="single"/>
        </w:rPr>
        <w:t>         </w:t>
      </w:r>
      <w:r>
        <w:rPr>
          <w:rFonts w:ascii="宋体" w:hAnsi="宋体"/>
          <w:color w:val="auto"/>
          <w:szCs w:val="21"/>
          <w:highlight w:val="none"/>
        </w:rPr>
        <w:t>。</w:t>
      </w:r>
    </w:p>
    <w:p>
      <w:pPr>
        <w:bidi w:val="0"/>
        <w:spacing w:line="360" w:lineRule="auto"/>
      </w:pPr>
      <w:bookmarkStart w:id="14" w:name="_Toc500157577"/>
      <w:r>
        <w:t>六、合同文件构成</w:t>
      </w:r>
      <w:bookmarkEnd w:id="14"/>
    </w:p>
    <w:p>
      <w:pPr>
        <w:spacing w:line="360" w:lineRule="auto"/>
        <w:ind w:firstLine="440" w:firstLineChars="200"/>
        <w:rPr>
          <w:rFonts w:ascii="宋体" w:hAnsi="宋体"/>
          <w:bCs/>
          <w:color w:val="auto"/>
          <w:szCs w:val="21"/>
          <w:highlight w:val="none"/>
        </w:rPr>
      </w:pPr>
      <w:r>
        <w:rPr>
          <w:rFonts w:ascii="宋体" w:hAnsi="宋体"/>
          <w:bCs/>
          <w:color w:val="auto"/>
          <w:szCs w:val="21"/>
          <w:highlight w:val="none"/>
        </w:rPr>
        <w:t>本协议书与下列文件一起构成合同文件：</w:t>
      </w:r>
    </w:p>
    <w:p>
      <w:pPr>
        <w:numPr>
          <w:ilvl w:val="0"/>
          <w:numId w:val="24"/>
        </w:num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中标通知书（如果有）；</w:t>
      </w:r>
    </w:p>
    <w:p>
      <w:pPr>
        <w:autoSpaceDE w:val="0"/>
        <w:autoSpaceDN w:val="0"/>
        <w:adjustRightInd w:val="0"/>
        <w:spacing w:line="360" w:lineRule="auto"/>
        <w:ind w:firstLine="440" w:firstLineChars="200"/>
        <w:jc w:val="left"/>
        <w:rPr>
          <w:rFonts w:ascii="宋体" w:hAnsi="宋体"/>
          <w:color w:val="auto"/>
          <w:szCs w:val="21"/>
          <w:highlight w:val="none"/>
        </w:rPr>
      </w:pPr>
      <w:r>
        <w:rPr>
          <w:rFonts w:hint="eastAsia" w:ascii="宋体" w:hAnsi="宋体"/>
          <w:color w:val="auto"/>
          <w:szCs w:val="21"/>
          <w:highlight w:val="none"/>
        </w:rPr>
        <w:t>（2）投标文件（如果有）；</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）投标函及其附录（如果有）；</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）专用合同条款及其附件；</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）通用合同条款；</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）技术标准和要求；</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7</w:t>
      </w:r>
      <w:r>
        <w:rPr>
          <w:rFonts w:ascii="宋体" w:hAnsi="宋体"/>
          <w:color w:val="auto"/>
          <w:szCs w:val="21"/>
          <w:highlight w:val="none"/>
        </w:rPr>
        <w:t>）图纸；</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）已标价工程量清单或预算书；</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9</w:t>
      </w:r>
      <w:r>
        <w:rPr>
          <w:rFonts w:ascii="宋体" w:hAnsi="宋体"/>
          <w:color w:val="auto"/>
          <w:szCs w:val="21"/>
          <w:highlight w:val="none"/>
        </w:rPr>
        <w:t>）其他合同文件。</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pPr>
        <w:autoSpaceDE w:val="0"/>
        <w:autoSpaceDN w:val="0"/>
        <w:adjustRightInd w:val="0"/>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w:t>
      </w:r>
      <w:r>
        <w:rPr>
          <w:rFonts w:hint="eastAsia" w:ascii="宋体" w:hAnsi="宋体"/>
          <w:color w:val="auto"/>
          <w:szCs w:val="21"/>
          <w:highlight w:val="none"/>
        </w:rPr>
        <w:t>专用合同条款及其附件须经合同当事人签字或盖章。</w:t>
      </w:r>
    </w:p>
    <w:p>
      <w:pPr>
        <w:bidi w:val="0"/>
        <w:spacing w:line="360" w:lineRule="auto"/>
      </w:pPr>
      <w:bookmarkStart w:id="15" w:name="_Toc500157578"/>
      <w:r>
        <w:t>七、承诺</w:t>
      </w:r>
      <w:bookmarkEnd w:id="15"/>
    </w:p>
    <w:p>
      <w:pPr>
        <w:spacing w:line="360" w:lineRule="auto"/>
        <w:ind w:firstLine="440" w:firstLineChars="200"/>
        <w:rPr>
          <w:rFonts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pPr>
        <w:spacing w:line="360" w:lineRule="auto"/>
        <w:ind w:firstLine="440" w:firstLineChars="200"/>
        <w:rPr>
          <w:rFonts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40" w:firstLineChars="200"/>
        <w:rPr>
          <w:rFonts w:ascii="宋体" w:hAnsi="宋体"/>
          <w:bCs/>
          <w:color w:val="auto"/>
          <w:szCs w:val="21"/>
          <w:highlight w:val="none"/>
        </w:rPr>
      </w:pPr>
      <w:r>
        <w:rPr>
          <w:rFonts w:ascii="宋体" w:hAnsi="宋体"/>
          <w:bCs/>
          <w:color w:val="auto"/>
          <w:szCs w:val="21"/>
          <w:highlight w:val="none"/>
        </w:rPr>
        <w:t>3.发包人和承包人通过招投标形式签订合同的，双方理解并</w:t>
      </w:r>
      <w:r>
        <w:rPr>
          <w:rFonts w:hint="eastAsia" w:ascii="宋体" w:hAnsi="宋体"/>
          <w:bCs/>
          <w:color w:val="auto"/>
          <w:szCs w:val="21"/>
          <w:highlight w:val="none"/>
        </w:rPr>
        <w:t>承诺</w:t>
      </w:r>
      <w:r>
        <w:rPr>
          <w:rFonts w:ascii="宋体" w:hAnsi="宋体"/>
          <w:bCs/>
          <w:color w:val="auto"/>
          <w:szCs w:val="21"/>
          <w:highlight w:val="none"/>
        </w:rPr>
        <w:t>不再就同一工程另行签订与合同实质性内容相背离的协议。</w:t>
      </w:r>
    </w:p>
    <w:p>
      <w:pPr>
        <w:bidi w:val="0"/>
        <w:spacing w:line="360" w:lineRule="auto"/>
      </w:pPr>
      <w:bookmarkStart w:id="16" w:name="_Toc500157579"/>
      <w:r>
        <w:t>八、词语含义</w:t>
      </w:r>
      <w:bookmarkEnd w:id="16"/>
    </w:p>
    <w:p>
      <w:pPr>
        <w:spacing w:line="360" w:lineRule="auto"/>
        <w:ind w:firstLine="440" w:firstLineChars="200"/>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pPr>
        <w:bidi w:val="0"/>
        <w:spacing w:line="360" w:lineRule="auto"/>
      </w:pPr>
      <w:bookmarkStart w:id="17" w:name="_Toc500157580"/>
      <w:r>
        <w:t>九、签订时间</w:t>
      </w:r>
      <w:bookmarkEnd w:id="17"/>
    </w:p>
    <w:p>
      <w:pPr>
        <w:spacing w:line="360" w:lineRule="auto"/>
        <w:ind w:firstLine="440" w:firstLineChars="200"/>
        <w:rPr>
          <w:rFonts w:ascii="宋体" w:hAnsi="宋体"/>
          <w:bCs/>
          <w:color w:val="auto"/>
          <w:szCs w:val="21"/>
          <w:highlight w:val="none"/>
        </w:rPr>
      </w:pPr>
      <w:r>
        <w:rPr>
          <w:rFonts w:ascii="宋体" w:hAnsi="宋体"/>
          <w:bCs/>
          <w:color w:val="auto"/>
          <w:szCs w:val="21"/>
          <w:highlight w:val="none"/>
        </w:rPr>
        <w:t>本合同于</w:t>
      </w:r>
      <w:r>
        <w:rPr>
          <w:rFonts w:hint="eastAsia" w:ascii="宋体" w:hAnsi="宋体"/>
          <w:bCs/>
          <w:color w:val="auto"/>
          <w:szCs w:val="21"/>
          <w:highlight w:val="none"/>
          <w:u w:val="single"/>
        </w:rPr>
        <w:t>202</w:t>
      </w:r>
      <w:r>
        <w:rPr>
          <w:rFonts w:hint="eastAsia"/>
          <w:bCs/>
          <w:color w:val="auto"/>
          <w:szCs w:val="21"/>
          <w:highlight w:val="none"/>
          <w:u w:val="single"/>
          <w:lang w:val="en-US" w:eastAsia="zh-CN"/>
        </w:rPr>
        <w:t>2</w:t>
      </w:r>
      <w:r>
        <w:rPr>
          <w:rFonts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rPr>
        <w:t>月</w:t>
      </w:r>
      <w:r>
        <w:rPr>
          <w:rFonts w:hint="eastAsia" w:ascii="宋体" w:hAnsi="宋体"/>
          <w:bCs/>
          <w:color w:val="auto"/>
          <w:szCs w:val="21"/>
          <w:highlight w:val="none"/>
          <w:u w:val="single"/>
        </w:rPr>
        <w:t xml:space="preserve">      </w:t>
      </w:r>
      <w:r>
        <w:rPr>
          <w:rFonts w:ascii="宋体" w:hAnsi="宋体"/>
          <w:bCs/>
          <w:color w:val="auto"/>
          <w:szCs w:val="21"/>
          <w:highlight w:val="none"/>
        </w:rPr>
        <w:t>日签订。</w:t>
      </w:r>
    </w:p>
    <w:p>
      <w:pPr>
        <w:bidi w:val="0"/>
        <w:spacing w:line="360" w:lineRule="auto"/>
      </w:pPr>
      <w:bookmarkStart w:id="18" w:name="_Toc500157581"/>
      <w:r>
        <w:t>十、签订地点</w:t>
      </w:r>
      <w:bookmarkEnd w:id="18"/>
    </w:p>
    <w:p>
      <w:pPr>
        <w:spacing w:line="360" w:lineRule="auto"/>
        <w:ind w:firstLine="440" w:firstLineChars="200"/>
        <w:rPr>
          <w:rFonts w:ascii="宋体" w:hAnsi="宋体"/>
          <w:bCs/>
          <w:color w:val="auto"/>
          <w:szCs w:val="21"/>
          <w:highlight w:val="none"/>
        </w:rPr>
      </w:pPr>
      <w:r>
        <w:rPr>
          <w:rFonts w:ascii="宋体" w:hAnsi="宋体"/>
          <w:bCs/>
          <w:color w:val="auto"/>
          <w:szCs w:val="21"/>
          <w:highlight w:val="none"/>
        </w:rPr>
        <w:t>本合同在</w:t>
      </w:r>
      <w:r>
        <w:rPr>
          <w:rFonts w:hint="eastAsia" w:ascii="宋体" w:hAnsi="宋体"/>
          <w:bCs/>
          <w:color w:val="auto"/>
          <w:szCs w:val="21"/>
          <w:highlight w:val="none"/>
          <w:u w:val="single"/>
        </w:rPr>
        <w:t xml:space="preserve"> 云浮</w:t>
      </w:r>
      <w:r>
        <w:rPr>
          <w:rFonts w:hint="eastAsia"/>
          <w:bCs/>
          <w:color w:val="auto"/>
          <w:szCs w:val="21"/>
          <w:highlight w:val="none"/>
          <w:u w:val="single"/>
          <w:lang w:val="en-US" w:eastAsia="zh-CN"/>
        </w:rPr>
        <w:t xml:space="preserve">   区</w:t>
      </w:r>
      <w:r>
        <w:rPr>
          <w:rFonts w:hint="eastAsia" w:ascii="宋体" w:hAnsi="宋体"/>
          <w:bCs/>
          <w:color w:val="auto"/>
          <w:szCs w:val="21"/>
          <w:highlight w:val="none"/>
          <w:u w:val="single"/>
        </w:rPr>
        <w:t xml:space="preserve"> </w:t>
      </w:r>
      <w:r>
        <w:rPr>
          <w:rFonts w:ascii="宋体" w:hAnsi="宋体"/>
          <w:bCs/>
          <w:color w:val="auto"/>
          <w:szCs w:val="21"/>
          <w:highlight w:val="none"/>
        </w:rPr>
        <w:t>签订。</w:t>
      </w:r>
    </w:p>
    <w:p>
      <w:pPr>
        <w:bidi w:val="0"/>
        <w:spacing w:line="360" w:lineRule="auto"/>
      </w:pPr>
      <w:bookmarkStart w:id="19" w:name="_Toc500157582"/>
      <w:r>
        <w:t>十一、补充协议</w:t>
      </w:r>
      <w:bookmarkEnd w:id="19"/>
    </w:p>
    <w:p>
      <w:pPr>
        <w:spacing w:line="360" w:lineRule="auto"/>
        <w:ind w:firstLine="440" w:firstLineChars="200"/>
        <w:rPr>
          <w:rFonts w:ascii="宋体" w:hAnsi="宋体"/>
          <w:b/>
          <w:bCs/>
          <w:color w:val="auto"/>
          <w:szCs w:val="21"/>
          <w:highlight w:val="none"/>
        </w:rPr>
      </w:pPr>
      <w:r>
        <w:rPr>
          <w:rFonts w:ascii="宋体" w:hAnsi="宋体"/>
          <w:bCs/>
          <w:color w:val="auto"/>
          <w:szCs w:val="21"/>
          <w:highlight w:val="none"/>
        </w:rPr>
        <w:t>合同未尽事宜，合同当事人另行签订补充协议</w:t>
      </w:r>
      <w:r>
        <w:rPr>
          <w:rFonts w:hint="eastAsia" w:ascii="宋体" w:hAnsi="宋体"/>
          <w:bCs/>
          <w:color w:val="auto"/>
          <w:szCs w:val="21"/>
          <w:highlight w:val="none"/>
        </w:rPr>
        <w:t>，</w:t>
      </w:r>
      <w:r>
        <w:rPr>
          <w:rFonts w:ascii="宋体" w:hAnsi="宋体"/>
          <w:bCs/>
          <w:color w:val="auto"/>
          <w:szCs w:val="21"/>
          <w:highlight w:val="none"/>
        </w:rPr>
        <w:t>补充协议是合同的组成部分。</w:t>
      </w:r>
    </w:p>
    <w:p>
      <w:pPr>
        <w:bidi w:val="0"/>
        <w:spacing w:line="360" w:lineRule="auto"/>
      </w:pPr>
      <w:bookmarkStart w:id="20" w:name="_Toc500157583"/>
      <w:r>
        <w:t>十二、合同生效</w:t>
      </w:r>
      <w:bookmarkEnd w:id="20"/>
    </w:p>
    <w:p>
      <w:pPr>
        <w:spacing w:line="360" w:lineRule="auto"/>
        <w:ind w:firstLine="440" w:firstLineChars="200"/>
        <w:rPr>
          <w:rFonts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发包人与承包人双方法定代表人或其授权代表签字并盖公章之日起 </w:t>
      </w:r>
      <w:r>
        <w:rPr>
          <w:rFonts w:hint="eastAsia" w:ascii="宋体" w:hAnsi="宋体"/>
          <w:bCs/>
          <w:color w:val="auto"/>
          <w:szCs w:val="21"/>
          <w:highlight w:val="none"/>
        </w:rPr>
        <w:t>生效</w:t>
      </w:r>
      <w:r>
        <w:rPr>
          <w:rFonts w:ascii="宋体" w:hAnsi="宋体"/>
          <w:bCs/>
          <w:color w:val="auto"/>
          <w:szCs w:val="21"/>
          <w:highlight w:val="none"/>
        </w:rPr>
        <w:t>。</w:t>
      </w:r>
    </w:p>
    <w:p>
      <w:pPr>
        <w:bidi w:val="0"/>
        <w:spacing w:line="360" w:lineRule="auto"/>
      </w:pPr>
      <w:bookmarkStart w:id="21" w:name="_Toc500157584"/>
      <w:r>
        <w:t>十三、合同份数</w:t>
      </w:r>
      <w:bookmarkEnd w:id="21"/>
    </w:p>
    <w:p>
      <w:pPr>
        <w:spacing w:line="360" w:lineRule="auto"/>
        <w:ind w:firstLine="440" w:firstLineChars="200"/>
        <w:rPr>
          <w:rFonts w:ascii="宋体" w:hAnsi="宋体"/>
          <w:bCs/>
          <w:color w:val="auto"/>
          <w:szCs w:val="21"/>
          <w:highlight w:val="none"/>
        </w:rPr>
      </w:pPr>
      <w:r>
        <w:rPr>
          <w:rFonts w:hint="eastAsia" w:ascii="宋体" w:hAnsi="宋体"/>
          <w:bCs/>
          <w:color w:val="auto"/>
          <w:szCs w:val="21"/>
          <w:highlight w:val="none"/>
        </w:rPr>
        <w:t>本合同正本一式</w:t>
      </w:r>
      <w:r>
        <w:rPr>
          <w:rFonts w:hint="eastAsia"/>
          <w:bCs/>
          <w:color w:val="auto"/>
          <w:szCs w:val="21"/>
          <w:highlight w:val="none"/>
          <w:lang w:val="en-US" w:eastAsia="zh-CN"/>
        </w:rPr>
        <w:t>三</w:t>
      </w:r>
      <w:r>
        <w:rPr>
          <w:rFonts w:hint="eastAsia" w:ascii="宋体" w:hAnsi="宋体"/>
          <w:bCs/>
          <w:color w:val="auto"/>
          <w:szCs w:val="21"/>
          <w:highlight w:val="none"/>
        </w:rPr>
        <w:t>份，承、发包人各执一份</w:t>
      </w:r>
      <w:r>
        <w:rPr>
          <w:rFonts w:hint="eastAsia"/>
          <w:bCs/>
          <w:color w:val="auto"/>
          <w:szCs w:val="21"/>
          <w:highlight w:val="none"/>
          <w:lang w:eastAsia="zh-CN"/>
        </w:rPr>
        <w:t>，</w:t>
      </w:r>
      <w:r>
        <w:rPr>
          <w:rFonts w:hint="eastAsia"/>
          <w:bCs/>
          <w:color w:val="auto"/>
          <w:szCs w:val="21"/>
          <w:highlight w:val="none"/>
          <w:lang w:val="en-US" w:eastAsia="zh-CN"/>
        </w:rPr>
        <w:t>招标代理机构执一份</w:t>
      </w:r>
      <w:r>
        <w:rPr>
          <w:rFonts w:hint="eastAsia" w:ascii="宋体" w:hAnsi="宋体"/>
          <w:bCs/>
          <w:color w:val="auto"/>
          <w:szCs w:val="21"/>
          <w:highlight w:val="none"/>
        </w:rPr>
        <w:t>；副本 八 份，发包人执五份，承包人执三份。合同正、副本具有同等效力，但当合同正本与副本的表述不一致时，以合同正本为准。</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r>
        <w:rPr>
          <w:rFonts w:ascii="宋体" w:hAnsi="宋体"/>
          <w:color w:val="auto"/>
          <w:szCs w:val="21"/>
          <w:highlight w:val="none"/>
        </w:rPr>
        <w:t>承包人</w:t>
      </w:r>
      <w:r>
        <w:rPr>
          <w:rFonts w:hint="eastAsia" w:ascii="宋体" w:hAnsi="宋体"/>
          <w:color w:val="auto"/>
          <w:szCs w:val="21"/>
          <w:highlight w:val="none"/>
        </w:rPr>
        <w:t xml:space="preserve">：  </w:t>
      </w:r>
      <w:r>
        <w:rPr>
          <w:rFonts w:ascii="宋体" w:hAnsi="宋体"/>
          <w:color w:val="auto"/>
          <w:szCs w:val="21"/>
          <w:highlight w:val="none"/>
        </w:rPr>
        <w:t>（公章）</w:t>
      </w:r>
    </w:p>
    <w:p>
      <w:pPr>
        <w:spacing w:line="400" w:lineRule="exact"/>
        <w:rPr>
          <w:rFonts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pPr>
        <w:spacing w:line="400" w:lineRule="exact"/>
        <w:ind w:firstLine="990" w:firstLineChars="450"/>
        <w:rPr>
          <w:rFonts w:ascii="宋体" w:hAnsi="宋体"/>
          <w:color w:val="auto"/>
          <w:szCs w:val="21"/>
          <w:highlight w:val="none"/>
        </w:rPr>
      </w:pPr>
      <w:r>
        <w:rPr>
          <w:rFonts w:hint="eastAsia" w:ascii="宋体" w:hAnsi="宋体"/>
          <w:color w:val="auto"/>
          <w:szCs w:val="21"/>
          <w:highlight w:val="none"/>
        </w:rPr>
        <w:t>（签字）                                      （签字）</w:t>
      </w:r>
    </w:p>
    <w:p>
      <w:pPr>
        <w:tabs>
          <w:tab w:val="left" w:pos="4410"/>
        </w:tabs>
        <w:spacing w:line="400" w:lineRule="exact"/>
        <w:rPr>
          <w:rFonts w:ascii="宋体" w:hAnsi="宋体"/>
          <w:color w:val="auto"/>
          <w:szCs w:val="21"/>
          <w:highlight w:val="none"/>
        </w:rPr>
      </w:pPr>
      <w:r>
        <w:rPr>
          <w:rFonts w:hint="eastAsia" w:ascii="宋体" w:hAnsi="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olor w:val="auto"/>
          <w:szCs w:val="21"/>
          <w:highlight w:val="none"/>
        </w:rPr>
        <w:t xml:space="preserve">                 组织机构代码：</w:t>
      </w:r>
      <w:r>
        <w:rPr>
          <w:rFonts w:hint="eastAsia" w:ascii="宋体" w:hAnsi="宋体" w:cs="宋体"/>
          <w:color w:val="auto"/>
          <w:szCs w:val="21"/>
          <w:highlight w:val="none"/>
          <w:u w:val="single"/>
        </w:rPr>
        <w:t xml:space="preserve">   </w:t>
      </w:r>
    </w:p>
    <w:p>
      <w:pPr>
        <w:spacing w:line="400" w:lineRule="exact"/>
        <w:rPr>
          <w:rFonts w:ascii="宋体" w:hAnsi="宋体"/>
          <w:color w:val="auto"/>
          <w:szCs w:val="21"/>
          <w:highlight w:val="none"/>
        </w:rPr>
      </w:pPr>
      <w:r>
        <w:rPr>
          <w:rFonts w:ascii="宋体" w:hAnsi="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olor w:val="auto"/>
          <w:szCs w:val="21"/>
          <w:highlight w:val="none"/>
        </w:rPr>
        <w:t>地  址：</w:t>
      </w:r>
      <w:r>
        <w:rPr>
          <w:rFonts w:hint="eastAsia" w:ascii="宋体" w:hAnsi="宋体" w:cs="宋体"/>
          <w:color w:val="auto"/>
          <w:szCs w:val="21"/>
          <w:highlight w:val="none"/>
          <w:u w:val="single"/>
        </w:rPr>
        <w:t xml:space="preserve"> </w:t>
      </w:r>
    </w:p>
    <w:p>
      <w:pPr>
        <w:spacing w:line="400" w:lineRule="exact"/>
        <w:rPr>
          <w:rFonts w:ascii="宋体" w:hAnsi="宋体"/>
          <w:color w:val="auto"/>
          <w:szCs w:val="21"/>
          <w:highlight w:val="none"/>
        </w:rPr>
      </w:pPr>
      <w:r>
        <w:rPr>
          <w:rFonts w:ascii="宋体" w:hAnsi="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olor w:val="auto"/>
          <w:szCs w:val="21"/>
          <w:highlight w:val="none"/>
        </w:rPr>
        <w:t>邮政编码：</w:t>
      </w:r>
      <w:r>
        <w:rPr>
          <w:rFonts w:hint="eastAsia" w:ascii="宋体" w:hAnsi="宋体" w:cs="宋体"/>
          <w:color w:val="auto"/>
          <w:szCs w:val="21"/>
          <w:highlight w:val="none"/>
          <w:u w:val="single"/>
        </w:rPr>
        <w:t xml:space="preserve">   </w:t>
      </w:r>
    </w:p>
    <w:p>
      <w:pPr>
        <w:spacing w:line="400" w:lineRule="exact"/>
        <w:rPr>
          <w:rFonts w:ascii="宋体" w:hAnsi="宋体"/>
          <w:color w:val="auto"/>
          <w:szCs w:val="21"/>
          <w:highlight w:val="none"/>
        </w:rPr>
      </w:pPr>
      <w:r>
        <w:rPr>
          <w:rFonts w:ascii="宋体" w:hAnsi="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olor w:val="auto"/>
          <w:szCs w:val="21"/>
          <w:highlight w:val="none"/>
        </w:rPr>
        <w:t>法定代表人：</w:t>
      </w:r>
      <w:r>
        <w:rPr>
          <w:rFonts w:hint="eastAsia" w:ascii="宋体" w:hAnsi="宋体" w:cs="宋体"/>
          <w:color w:val="auto"/>
          <w:szCs w:val="21"/>
          <w:highlight w:val="none"/>
          <w:u w:val="single"/>
        </w:rPr>
        <w:t></w:t>
      </w:r>
    </w:p>
    <w:p>
      <w:pPr>
        <w:spacing w:line="400" w:lineRule="exact"/>
        <w:rPr>
          <w:rFonts w:ascii="宋体" w:hAnsi="宋体"/>
          <w:color w:val="auto"/>
          <w:szCs w:val="21"/>
          <w:highlight w:val="none"/>
        </w:rPr>
      </w:pPr>
      <w:r>
        <w:rPr>
          <w:rFonts w:ascii="宋体" w:hAnsi="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olor w:val="auto"/>
          <w:szCs w:val="21"/>
          <w:highlight w:val="none"/>
        </w:rPr>
        <w:t>委托代理人：</w:t>
      </w:r>
      <w:r>
        <w:rPr>
          <w:rFonts w:hint="eastAsia" w:ascii="宋体" w:hAnsi="宋体" w:cs="宋体"/>
          <w:color w:val="auto"/>
          <w:szCs w:val="21"/>
          <w:highlight w:val="none"/>
          <w:u w:val="single"/>
        </w:rPr>
        <w:t xml:space="preserve">  </w:t>
      </w:r>
    </w:p>
    <w:p>
      <w:pPr>
        <w:spacing w:line="400" w:lineRule="exact"/>
        <w:rPr>
          <w:rFonts w:ascii="宋体" w:hAnsi="宋体"/>
          <w:color w:val="auto"/>
          <w:szCs w:val="21"/>
          <w:highlight w:val="none"/>
        </w:rPr>
      </w:pPr>
      <w:r>
        <w:rPr>
          <w:rFonts w:ascii="宋体" w:hAnsi="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olor w:val="auto"/>
          <w:szCs w:val="21"/>
          <w:highlight w:val="none"/>
        </w:rPr>
        <w:t>电  话：</w:t>
      </w:r>
      <w:r>
        <w:rPr>
          <w:rFonts w:hint="eastAsia" w:ascii="宋体" w:hAnsi="宋体" w:cs="宋体"/>
          <w:color w:val="auto"/>
          <w:szCs w:val="21"/>
          <w:highlight w:val="none"/>
          <w:u w:val="single"/>
        </w:rPr>
        <w:t></w:t>
      </w:r>
    </w:p>
    <w:p>
      <w:pPr>
        <w:spacing w:line="400" w:lineRule="exact"/>
        <w:rPr>
          <w:rFonts w:ascii="宋体" w:hAnsi="宋体"/>
          <w:color w:val="auto"/>
          <w:szCs w:val="21"/>
          <w:highlight w:val="none"/>
        </w:rPr>
      </w:pPr>
      <w:r>
        <w:rPr>
          <w:rFonts w:ascii="宋体" w:hAnsi="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olor w:val="auto"/>
          <w:szCs w:val="21"/>
          <w:highlight w:val="none"/>
        </w:rPr>
        <w:t>传  真：</w:t>
      </w:r>
      <w:r>
        <w:rPr>
          <w:rFonts w:hint="eastAsia" w:ascii="宋体" w:hAnsi="宋体" w:cs="宋体"/>
          <w:color w:val="auto"/>
          <w:szCs w:val="21"/>
          <w:highlight w:val="none"/>
          <w:u w:val="single"/>
        </w:rPr>
        <w:t xml:space="preserve">   </w:t>
      </w:r>
    </w:p>
    <w:p>
      <w:pPr>
        <w:spacing w:line="400" w:lineRule="exact"/>
        <w:rPr>
          <w:rFonts w:ascii="宋体" w:hAnsi="宋体"/>
          <w:color w:val="auto"/>
          <w:szCs w:val="21"/>
          <w:highlight w:val="none"/>
        </w:rPr>
      </w:pPr>
      <w:r>
        <w:rPr>
          <w:rFonts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hint="eastAsia" w:ascii="宋体" w:hAnsi="宋体" w:cs="宋体"/>
          <w:color w:val="auto"/>
          <w:szCs w:val="21"/>
          <w:highlight w:val="none"/>
          <w:u w:val="single"/>
        </w:rPr>
        <w:t xml:space="preserve">  </w:t>
      </w:r>
    </w:p>
    <w:p>
      <w:pPr>
        <w:spacing w:line="400" w:lineRule="exact"/>
        <w:rPr>
          <w:rFonts w:ascii="宋体" w:hAnsi="宋体"/>
          <w:color w:val="auto"/>
          <w:szCs w:val="21"/>
          <w:highlight w:val="none"/>
        </w:rPr>
      </w:pPr>
      <w:r>
        <w:rPr>
          <w:rFonts w:ascii="宋体" w:hAnsi="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olor w:val="auto"/>
          <w:szCs w:val="21"/>
          <w:highlight w:val="none"/>
        </w:rPr>
        <w:t>开户银行：</w:t>
      </w:r>
      <w:r>
        <w:rPr>
          <w:rFonts w:hint="eastAsia" w:ascii="宋体" w:hAnsi="宋体" w:cs="宋体"/>
          <w:color w:val="auto"/>
          <w:szCs w:val="21"/>
          <w:highlight w:val="none"/>
          <w:u w:val="single"/>
        </w:rPr>
        <w:t xml:space="preserve">   </w:t>
      </w:r>
    </w:p>
    <w:p>
      <w:pPr>
        <w:spacing w:line="400" w:lineRule="exact"/>
        <w:rPr>
          <w:rFonts w:ascii="宋体" w:hAnsi="宋体"/>
          <w:color w:val="auto"/>
          <w:szCs w:val="21"/>
          <w:highlight w:val="none"/>
        </w:rPr>
      </w:pPr>
      <w:r>
        <w:rPr>
          <w:rFonts w:ascii="宋体" w:hAnsi="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ascii="宋体" w:hAnsi="宋体"/>
          <w:color w:val="auto"/>
          <w:szCs w:val="21"/>
          <w:highlight w:val="none"/>
        </w:rPr>
        <w:t>账 号：</w:t>
      </w:r>
      <w:r>
        <w:rPr>
          <w:rFonts w:hint="eastAsia" w:ascii="宋体" w:hAnsi="宋体" w:cs="宋体"/>
          <w:color w:val="auto"/>
          <w:szCs w:val="21"/>
          <w:highlight w:val="none"/>
          <w:u w:val="single"/>
        </w:rPr>
        <w:t></w:t>
      </w:r>
    </w:p>
    <w:p>
      <w:pPr>
        <w:autoSpaceDE w:val="0"/>
        <w:autoSpaceDN w:val="0"/>
        <w:adjustRightInd w:val="0"/>
        <w:spacing w:line="400" w:lineRule="exact"/>
        <w:jc w:val="center"/>
        <w:rPr>
          <w:rFonts w:ascii="宋体" w:hAnsi="宋体"/>
          <w:b/>
          <w:bCs/>
          <w:color w:val="auto"/>
          <w:sz w:val="28"/>
          <w:szCs w:val="28"/>
          <w:highlight w:val="none"/>
        </w:rPr>
      </w:pPr>
      <w:r>
        <w:rPr>
          <w:rFonts w:ascii="宋体" w:hAnsi="宋体" w:cs="宋体"/>
          <w:color w:val="auto"/>
          <w:kern w:val="0"/>
          <w:sz w:val="36"/>
          <w:szCs w:val="36"/>
          <w:highlight w:val="none"/>
        </w:rPr>
        <w:br w:type="page"/>
      </w:r>
      <w:r>
        <w:rPr>
          <w:rFonts w:hint="eastAsia" w:ascii="宋体" w:hAnsi="宋体"/>
          <w:b/>
          <w:bCs/>
          <w:color w:val="auto"/>
          <w:sz w:val="28"/>
          <w:szCs w:val="28"/>
          <w:highlight w:val="none"/>
        </w:rPr>
        <w:t>第二部分 合同通用条款</w:t>
      </w:r>
    </w:p>
    <w:p>
      <w:pPr>
        <w:spacing w:line="400" w:lineRule="exact"/>
        <w:ind w:right="420"/>
        <w:jc w:val="left"/>
        <w:rPr>
          <w:rFonts w:ascii="宋体" w:hAnsi="宋体"/>
          <w:b/>
          <w:bCs/>
          <w:color w:val="auto"/>
          <w:sz w:val="28"/>
          <w:szCs w:val="28"/>
          <w:highlight w:val="none"/>
        </w:rPr>
      </w:pPr>
      <w:bookmarkStart w:id="22" w:name="_Toc500157586"/>
      <w:r>
        <w:rPr>
          <w:rFonts w:hint="eastAsia" w:ascii="宋体" w:hAnsi="宋体"/>
          <w:b/>
          <w:color w:val="auto"/>
          <w:szCs w:val="21"/>
          <w:highlight w:val="none"/>
        </w:rPr>
        <w:t>按《住房城乡建设部工商总局关于印发建设工程施工合同（示范文本）的通知》（建市〔2017〕214号）的《建设工程施工合同（示范文本）》（GF-2017-0201）的“合同通用条款”</w:t>
      </w:r>
    </w:p>
    <w:p>
      <w:pPr>
        <w:spacing w:line="400" w:lineRule="exact"/>
        <w:ind w:right="420"/>
        <w:jc w:val="center"/>
        <w:rPr>
          <w:rFonts w:ascii="宋体" w:hAnsi="宋体"/>
          <w:b/>
          <w:bCs/>
          <w:color w:val="auto"/>
          <w:sz w:val="28"/>
          <w:szCs w:val="28"/>
          <w:highlight w:val="none"/>
        </w:rPr>
      </w:pPr>
    </w:p>
    <w:p>
      <w:pPr>
        <w:widowControl/>
        <w:jc w:val="left"/>
        <w:rPr>
          <w:rFonts w:ascii="宋体" w:hAnsi="宋体"/>
          <w:b/>
          <w:bCs/>
          <w:color w:val="auto"/>
          <w:sz w:val="28"/>
          <w:szCs w:val="28"/>
          <w:highlight w:val="none"/>
        </w:rPr>
      </w:pPr>
      <w:r>
        <w:rPr>
          <w:rFonts w:ascii="宋体" w:hAnsi="宋体"/>
          <w:b/>
          <w:bCs/>
          <w:color w:val="auto"/>
          <w:sz w:val="28"/>
          <w:szCs w:val="28"/>
          <w:highlight w:val="none"/>
        </w:rPr>
        <w:br w:type="page"/>
      </w:r>
    </w:p>
    <w:p>
      <w:pPr>
        <w:spacing w:line="400" w:lineRule="exact"/>
        <w:ind w:right="420"/>
        <w:jc w:val="center"/>
        <w:rPr>
          <w:rFonts w:ascii="宋体" w:hAnsi="宋体"/>
          <w:color w:val="auto"/>
          <w:highlight w:val="none"/>
        </w:rPr>
      </w:pPr>
      <w:r>
        <w:rPr>
          <w:rFonts w:ascii="宋体" w:hAnsi="宋体"/>
          <w:b/>
          <w:bCs/>
          <w:color w:val="auto"/>
          <w:sz w:val="28"/>
          <w:szCs w:val="28"/>
          <w:highlight w:val="none"/>
        </w:rPr>
        <w:t xml:space="preserve">第三部分 </w:t>
      </w:r>
      <w:r>
        <w:rPr>
          <w:rFonts w:hint="eastAsia" w:ascii="宋体" w:hAnsi="宋体"/>
          <w:b/>
          <w:bCs/>
          <w:color w:val="auto"/>
          <w:sz w:val="28"/>
          <w:szCs w:val="28"/>
          <w:highlight w:val="none"/>
        </w:rPr>
        <w:t>专用合同条款</w:t>
      </w:r>
      <w:bookmarkEnd w:id="22"/>
    </w:p>
    <w:p>
      <w:pPr>
        <w:spacing w:line="400" w:lineRule="exact"/>
        <w:ind w:firstLine="440" w:firstLineChars="200"/>
        <w:rPr>
          <w:rFonts w:ascii="宋体" w:hAnsi="宋体"/>
          <w:color w:val="auto"/>
          <w:kern w:val="0"/>
          <w:szCs w:val="21"/>
          <w:highlight w:val="none"/>
        </w:rPr>
      </w:pPr>
      <w:bookmarkStart w:id="23" w:name="_Toc500157587"/>
      <w:r>
        <w:rPr>
          <w:rFonts w:ascii="宋体" w:hAnsi="宋体"/>
          <w:color w:val="auto"/>
          <w:kern w:val="0"/>
          <w:szCs w:val="21"/>
          <w:highlight w:val="none"/>
        </w:rPr>
        <w:t>1</w:t>
      </w:r>
      <w:bookmarkStart w:id="24" w:name="_Toc296503156"/>
      <w:bookmarkStart w:id="25" w:name="_Toc297048342"/>
      <w:bookmarkStart w:id="26" w:name="_Toc296346657"/>
      <w:bookmarkStart w:id="27" w:name="_Toc292559361"/>
      <w:bookmarkStart w:id="28" w:name="_Toc297120456"/>
      <w:bookmarkStart w:id="29" w:name="_Toc296944495"/>
      <w:bookmarkStart w:id="30" w:name="_Toc296890984"/>
      <w:bookmarkStart w:id="31" w:name="_Toc296891196"/>
      <w:bookmarkStart w:id="32" w:name="_Toc292559866"/>
      <w:bookmarkStart w:id="33" w:name="_Toc296347155"/>
      <w:r>
        <w:rPr>
          <w:rFonts w:ascii="宋体" w:hAnsi="宋体"/>
          <w:color w:val="auto"/>
          <w:kern w:val="0"/>
          <w:szCs w:val="21"/>
          <w:highlight w:val="none"/>
        </w:rPr>
        <w:t>.一般约定</w:t>
      </w:r>
      <w:bookmarkEnd w:id="23"/>
    </w:p>
    <w:bookmarkEnd w:id="24"/>
    <w:bookmarkEnd w:id="25"/>
    <w:bookmarkEnd w:id="26"/>
    <w:bookmarkEnd w:id="27"/>
    <w:bookmarkEnd w:id="28"/>
    <w:bookmarkEnd w:id="29"/>
    <w:bookmarkEnd w:id="30"/>
    <w:bookmarkEnd w:id="31"/>
    <w:bookmarkEnd w:id="32"/>
    <w:bookmarkEnd w:id="33"/>
    <w:p>
      <w:pPr>
        <w:spacing w:line="400" w:lineRule="exact"/>
        <w:ind w:firstLine="440" w:firstLineChars="200"/>
        <w:rPr>
          <w:rFonts w:ascii="宋体" w:hAnsi="宋体"/>
          <w:color w:val="auto"/>
          <w:kern w:val="0"/>
          <w:szCs w:val="21"/>
          <w:highlight w:val="none"/>
        </w:rPr>
      </w:pPr>
      <w:bookmarkStart w:id="34" w:name="_Toc500157588"/>
      <w:r>
        <w:rPr>
          <w:rFonts w:ascii="宋体" w:hAnsi="宋体"/>
          <w:color w:val="auto"/>
          <w:kern w:val="0"/>
          <w:szCs w:val="21"/>
          <w:highlight w:val="none"/>
        </w:rPr>
        <w:t>1.1词语定义</w:t>
      </w:r>
      <w:bookmarkEnd w:id="34"/>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1.1.1合同</w:t>
      </w:r>
    </w:p>
    <w:p>
      <w:pPr>
        <w:spacing w:line="400" w:lineRule="exact"/>
        <w:ind w:firstLine="440" w:firstLineChars="200"/>
        <w:rPr>
          <w:rFonts w:hint="eastAsia" w:ascii="宋体" w:hAnsi="宋体" w:cs="宋体"/>
          <w:color w:val="auto"/>
          <w:kern w:val="0"/>
          <w:szCs w:val="21"/>
          <w:highlight w:val="none"/>
          <w:u w:val="single"/>
        </w:rPr>
      </w:pPr>
      <w:r>
        <w:rPr>
          <w:rFonts w:ascii="宋体" w:hAnsi="宋体"/>
          <w:color w:val="auto"/>
          <w:kern w:val="0"/>
          <w:szCs w:val="21"/>
          <w:highlight w:val="none"/>
        </w:rPr>
        <w:t>1.1.1.10其他合同文件包括：</w:t>
      </w:r>
    </w:p>
    <w:p>
      <w:pPr>
        <w:spacing w:line="400" w:lineRule="exact"/>
        <w:ind w:firstLine="440" w:firstLineChars="200"/>
        <w:rPr>
          <w:rFonts w:hint="eastAsia" w:ascii="宋体" w:hAnsi="宋体"/>
          <w:color w:val="auto"/>
          <w:kern w:val="0"/>
          <w:szCs w:val="21"/>
          <w:highlight w:val="none"/>
        </w:rPr>
      </w:pPr>
      <w:r>
        <w:rPr>
          <w:rFonts w:hint="eastAsia" w:ascii="宋体" w:hAnsi="宋体"/>
          <w:color w:val="auto"/>
          <w:kern w:val="0"/>
          <w:szCs w:val="21"/>
          <w:highlight w:val="none"/>
        </w:rPr>
        <w:fldChar w:fldCharType="begin"/>
      </w:r>
      <w:r>
        <w:rPr>
          <w:rFonts w:hint="eastAsia" w:ascii="宋体" w:hAnsi="宋体"/>
          <w:color w:val="auto"/>
          <w:kern w:val="0"/>
          <w:szCs w:val="21"/>
          <w:highlight w:val="none"/>
        </w:rPr>
        <w:instrText xml:space="preserve"> eq \o\ac(</w:instrText>
      </w:r>
      <w:r>
        <w:rPr>
          <w:rFonts w:hint="eastAsia" w:ascii="宋体" w:hAnsi="宋体"/>
          <w:color w:val="auto"/>
          <w:kern w:val="0"/>
          <w:position w:val="-4"/>
          <w:sz w:val="31"/>
          <w:szCs w:val="21"/>
          <w:highlight w:val="none"/>
        </w:rPr>
        <w:instrText xml:space="preserve">□</w:instrText>
      </w:r>
      <w:r>
        <w:rPr>
          <w:rFonts w:hint="eastAsia" w:ascii="宋体" w:hAnsi="宋体"/>
          <w:color w:val="auto"/>
          <w:kern w:val="0"/>
          <w:szCs w:val="21"/>
          <w:highlight w:val="none"/>
        </w:rPr>
        <w:instrText xml:space="preserve">,√)</w:instrText>
      </w:r>
      <w:r>
        <w:rPr>
          <w:rFonts w:hint="eastAsia" w:ascii="宋体" w:hAnsi="宋体"/>
          <w:color w:val="auto"/>
          <w:kern w:val="0"/>
          <w:szCs w:val="21"/>
          <w:highlight w:val="none"/>
        </w:rPr>
        <w:fldChar w:fldCharType="end"/>
      </w:r>
      <w:r>
        <w:rPr>
          <w:rFonts w:hint="eastAsia" w:ascii="宋体" w:hAnsi="宋体"/>
          <w:color w:val="auto"/>
          <w:kern w:val="0"/>
          <w:szCs w:val="21"/>
          <w:highlight w:val="none"/>
        </w:rPr>
        <w:t xml:space="preserve"> 信件；</w:t>
      </w:r>
    </w:p>
    <w:p>
      <w:pPr>
        <w:spacing w:line="400" w:lineRule="exact"/>
        <w:ind w:firstLine="440" w:firstLineChars="200"/>
        <w:rPr>
          <w:rFonts w:hint="eastAsia" w:ascii="宋体" w:hAnsi="宋体"/>
          <w:color w:val="auto"/>
          <w:kern w:val="0"/>
          <w:szCs w:val="21"/>
          <w:highlight w:val="none"/>
        </w:rPr>
      </w:pPr>
      <w:r>
        <w:rPr>
          <w:rFonts w:hint="eastAsia" w:ascii="宋体" w:hAnsi="宋体"/>
          <w:color w:val="auto"/>
          <w:kern w:val="0"/>
          <w:szCs w:val="21"/>
          <w:highlight w:val="none"/>
        </w:rPr>
        <w:fldChar w:fldCharType="begin"/>
      </w:r>
      <w:r>
        <w:rPr>
          <w:rFonts w:hint="eastAsia" w:ascii="宋体" w:hAnsi="宋体"/>
          <w:color w:val="auto"/>
          <w:kern w:val="0"/>
          <w:szCs w:val="21"/>
          <w:highlight w:val="none"/>
        </w:rPr>
        <w:instrText xml:space="preserve"> eq \o\ac(</w:instrText>
      </w:r>
      <w:r>
        <w:rPr>
          <w:rFonts w:hint="eastAsia" w:ascii="宋体" w:hAnsi="宋体"/>
          <w:color w:val="auto"/>
          <w:kern w:val="0"/>
          <w:position w:val="-4"/>
          <w:sz w:val="31"/>
          <w:szCs w:val="21"/>
          <w:highlight w:val="none"/>
        </w:rPr>
        <w:instrText xml:space="preserve">□</w:instrText>
      </w:r>
      <w:r>
        <w:rPr>
          <w:rFonts w:hint="eastAsia" w:ascii="宋体" w:hAnsi="宋体"/>
          <w:color w:val="auto"/>
          <w:kern w:val="0"/>
          <w:szCs w:val="21"/>
          <w:highlight w:val="none"/>
        </w:rPr>
        <w:instrText xml:space="preserve">,√)</w:instrText>
      </w:r>
      <w:r>
        <w:rPr>
          <w:rFonts w:hint="eastAsia" w:ascii="宋体" w:hAnsi="宋体"/>
          <w:color w:val="auto"/>
          <w:kern w:val="0"/>
          <w:szCs w:val="21"/>
          <w:highlight w:val="none"/>
        </w:rPr>
        <w:fldChar w:fldCharType="end"/>
      </w:r>
      <w:r>
        <w:rPr>
          <w:rFonts w:hint="eastAsia" w:ascii="宋体" w:hAnsi="宋体"/>
          <w:color w:val="auto"/>
          <w:kern w:val="0"/>
          <w:szCs w:val="21"/>
          <w:highlight w:val="none"/>
        </w:rPr>
        <w:t xml:space="preserve"> 电报；</w:t>
      </w:r>
    </w:p>
    <w:p>
      <w:pPr>
        <w:spacing w:line="400" w:lineRule="exact"/>
        <w:ind w:firstLine="440" w:firstLineChars="200"/>
        <w:rPr>
          <w:rFonts w:hint="eastAsia" w:ascii="宋体" w:hAnsi="宋体"/>
          <w:color w:val="auto"/>
          <w:kern w:val="0"/>
          <w:szCs w:val="21"/>
          <w:highlight w:val="none"/>
        </w:rPr>
      </w:pPr>
      <w:r>
        <w:rPr>
          <w:rFonts w:hint="eastAsia" w:ascii="宋体" w:hAnsi="宋体"/>
          <w:color w:val="auto"/>
          <w:kern w:val="0"/>
          <w:szCs w:val="21"/>
          <w:highlight w:val="none"/>
        </w:rPr>
        <w:fldChar w:fldCharType="begin"/>
      </w:r>
      <w:r>
        <w:rPr>
          <w:rFonts w:hint="eastAsia" w:ascii="宋体" w:hAnsi="宋体"/>
          <w:color w:val="auto"/>
          <w:kern w:val="0"/>
          <w:szCs w:val="21"/>
          <w:highlight w:val="none"/>
        </w:rPr>
        <w:instrText xml:space="preserve"> eq \o\ac(</w:instrText>
      </w:r>
      <w:r>
        <w:rPr>
          <w:rFonts w:hint="eastAsia" w:ascii="宋体" w:hAnsi="宋体"/>
          <w:color w:val="auto"/>
          <w:kern w:val="0"/>
          <w:position w:val="-4"/>
          <w:sz w:val="31"/>
          <w:szCs w:val="21"/>
          <w:highlight w:val="none"/>
        </w:rPr>
        <w:instrText xml:space="preserve">□</w:instrText>
      </w:r>
      <w:r>
        <w:rPr>
          <w:rFonts w:hint="eastAsia" w:ascii="宋体" w:hAnsi="宋体"/>
          <w:color w:val="auto"/>
          <w:kern w:val="0"/>
          <w:szCs w:val="21"/>
          <w:highlight w:val="none"/>
        </w:rPr>
        <w:instrText xml:space="preserve">,√)</w:instrText>
      </w:r>
      <w:r>
        <w:rPr>
          <w:rFonts w:hint="eastAsia" w:ascii="宋体" w:hAnsi="宋体"/>
          <w:color w:val="auto"/>
          <w:kern w:val="0"/>
          <w:szCs w:val="21"/>
          <w:highlight w:val="none"/>
        </w:rPr>
        <w:fldChar w:fldCharType="end"/>
      </w:r>
      <w:r>
        <w:rPr>
          <w:rFonts w:hint="eastAsia" w:ascii="宋体" w:hAnsi="宋体"/>
          <w:color w:val="auto"/>
          <w:kern w:val="0"/>
          <w:szCs w:val="21"/>
          <w:highlight w:val="none"/>
        </w:rPr>
        <w:t xml:space="preserve"> 传真；</w:t>
      </w:r>
    </w:p>
    <w:p>
      <w:pPr>
        <w:spacing w:line="400" w:lineRule="exact"/>
        <w:ind w:firstLine="440" w:firstLineChars="200"/>
        <w:rPr>
          <w:rFonts w:hint="eastAsia" w:ascii="宋体" w:hAnsi="宋体"/>
          <w:color w:val="auto"/>
          <w:kern w:val="0"/>
          <w:szCs w:val="21"/>
          <w:highlight w:val="none"/>
        </w:rPr>
      </w:pPr>
      <w:r>
        <w:rPr>
          <w:rFonts w:hint="eastAsia" w:ascii="宋体" w:hAnsi="宋体"/>
          <w:color w:val="auto"/>
          <w:kern w:val="0"/>
          <w:szCs w:val="21"/>
          <w:highlight w:val="none"/>
        </w:rPr>
        <w:fldChar w:fldCharType="begin"/>
      </w:r>
      <w:r>
        <w:rPr>
          <w:rFonts w:hint="eastAsia" w:ascii="宋体" w:hAnsi="宋体"/>
          <w:color w:val="auto"/>
          <w:kern w:val="0"/>
          <w:szCs w:val="21"/>
          <w:highlight w:val="none"/>
        </w:rPr>
        <w:instrText xml:space="preserve"> eq \o\ac(</w:instrText>
      </w:r>
      <w:r>
        <w:rPr>
          <w:rFonts w:hint="eastAsia" w:ascii="宋体" w:hAnsi="宋体"/>
          <w:color w:val="auto"/>
          <w:kern w:val="0"/>
          <w:position w:val="-4"/>
          <w:sz w:val="31"/>
          <w:szCs w:val="21"/>
          <w:highlight w:val="none"/>
        </w:rPr>
        <w:instrText xml:space="preserve">□</w:instrText>
      </w:r>
      <w:r>
        <w:rPr>
          <w:rFonts w:hint="eastAsia" w:ascii="宋体" w:hAnsi="宋体"/>
          <w:color w:val="auto"/>
          <w:kern w:val="0"/>
          <w:szCs w:val="21"/>
          <w:highlight w:val="none"/>
        </w:rPr>
        <w:instrText xml:space="preserve">,√)</w:instrText>
      </w:r>
      <w:r>
        <w:rPr>
          <w:rFonts w:hint="eastAsia" w:ascii="宋体" w:hAnsi="宋体"/>
          <w:color w:val="auto"/>
          <w:kern w:val="0"/>
          <w:szCs w:val="21"/>
          <w:highlight w:val="none"/>
        </w:rPr>
        <w:fldChar w:fldCharType="end"/>
      </w:r>
      <w:r>
        <w:rPr>
          <w:rFonts w:hint="eastAsia" w:ascii="宋体" w:hAnsi="宋体"/>
          <w:color w:val="auto"/>
          <w:kern w:val="0"/>
          <w:szCs w:val="21"/>
          <w:highlight w:val="none"/>
        </w:rPr>
        <w:t xml:space="preserve"> 电子邮件；</w:t>
      </w:r>
    </w:p>
    <w:p>
      <w:pPr>
        <w:spacing w:line="400" w:lineRule="exact"/>
        <w:ind w:firstLine="440" w:firstLineChars="200"/>
        <w:rPr>
          <w:rFonts w:ascii="宋体" w:hAnsi="宋体"/>
          <w:color w:val="auto"/>
          <w:szCs w:val="21"/>
          <w:highlight w:val="none"/>
          <w:u w:val="single"/>
        </w:rPr>
      </w:pPr>
      <w:r>
        <w:rPr>
          <w:rFonts w:hint="eastAsia" w:ascii="宋体" w:hAnsi="宋体"/>
          <w:color w:val="auto"/>
          <w:kern w:val="0"/>
          <w:szCs w:val="21"/>
          <w:highlight w:val="none"/>
        </w:rPr>
        <w:fldChar w:fldCharType="begin"/>
      </w:r>
      <w:r>
        <w:rPr>
          <w:rFonts w:hint="eastAsia" w:ascii="宋体" w:hAnsi="宋体"/>
          <w:color w:val="auto"/>
          <w:kern w:val="0"/>
          <w:szCs w:val="21"/>
          <w:highlight w:val="none"/>
        </w:rPr>
        <w:instrText xml:space="preserve"> eq \o\ac(</w:instrText>
      </w:r>
      <w:r>
        <w:rPr>
          <w:rFonts w:hint="eastAsia" w:ascii="宋体" w:hAnsi="宋体"/>
          <w:color w:val="auto"/>
          <w:kern w:val="0"/>
          <w:position w:val="-4"/>
          <w:sz w:val="31"/>
          <w:szCs w:val="21"/>
          <w:highlight w:val="none"/>
        </w:rPr>
        <w:instrText xml:space="preserve">□</w:instrText>
      </w:r>
      <w:r>
        <w:rPr>
          <w:rFonts w:hint="eastAsia" w:ascii="宋体" w:hAnsi="宋体"/>
          <w:color w:val="auto"/>
          <w:kern w:val="0"/>
          <w:szCs w:val="21"/>
          <w:highlight w:val="none"/>
        </w:rPr>
        <w:instrText xml:space="preserve">,√)</w:instrText>
      </w:r>
      <w:r>
        <w:rPr>
          <w:rFonts w:hint="eastAsia" w:ascii="宋体" w:hAnsi="宋体"/>
          <w:color w:val="auto"/>
          <w:kern w:val="0"/>
          <w:szCs w:val="21"/>
          <w:highlight w:val="none"/>
        </w:rPr>
        <w:fldChar w:fldCharType="end"/>
      </w:r>
      <w:r>
        <w:rPr>
          <w:rFonts w:hint="eastAsia" w:ascii="宋体" w:hAnsi="宋体"/>
          <w:color w:val="auto"/>
          <w:kern w:val="0"/>
          <w:szCs w:val="21"/>
          <w:highlight w:val="none"/>
        </w:rPr>
        <w:t xml:space="preserve"> 其他：</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1.1.2合同当事人及其他相关方</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1.1.2.4监理人：</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名    称：</w:t>
      </w:r>
      <w:r>
        <w:rPr>
          <w:rFonts w:hint="eastAsia" w:ascii="宋体" w:hAnsi="宋体" w:cs="宋体"/>
          <w:color w:val="auto"/>
          <w:szCs w:val="21"/>
          <w:highlight w:val="none"/>
          <w:u w:val="single"/>
        </w:rPr>
        <w:t xml:space="preserve">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资质类别和等级：</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1.1.2.5 设计人：</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名    称：</w:t>
      </w:r>
      <w:r>
        <w:rPr>
          <w:rFonts w:hint="eastAsia" w:ascii="宋体" w:hAnsi="宋体" w:cs="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资质类别和等级：</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1.1.3工程和设备</w:t>
      </w:r>
    </w:p>
    <w:p>
      <w:pPr>
        <w:spacing w:line="400" w:lineRule="exact"/>
        <w:ind w:firstLine="440" w:firstLineChars="200"/>
        <w:rPr>
          <w:rFonts w:ascii="宋体" w:hAnsi="宋体"/>
          <w:color w:val="auto"/>
          <w:szCs w:val="21"/>
          <w:highlight w:val="none"/>
          <w:u w:val="single"/>
        </w:rPr>
      </w:pPr>
      <w:r>
        <w:rPr>
          <w:rFonts w:ascii="宋体" w:hAnsi="宋体"/>
          <w:color w:val="auto"/>
          <w:szCs w:val="21"/>
          <w:highlight w:val="none"/>
        </w:rPr>
        <w:t>1.1.3.7作为施工现场组成部分的其他场所包括：</w:t>
      </w:r>
      <w:r>
        <w:rPr>
          <w:rFonts w:hint="eastAsia" w:ascii="宋体" w:hAnsi="宋体" w:cs="宋体"/>
          <w:color w:val="auto"/>
          <w:kern w:val="0"/>
          <w:szCs w:val="21"/>
          <w:highlight w:val="none"/>
          <w:u w:val="single"/>
        </w:rPr>
        <w:t>提供施工场地后15天内按</w:t>
      </w:r>
      <w:r>
        <w:rPr>
          <w:rFonts w:ascii="宋体" w:hAnsi="宋体" w:cs="宋体"/>
          <w:color w:val="auto"/>
          <w:kern w:val="0"/>
          <w:szCs w:val="21"/>
          <w:highlight w:val="none"/>
          <w:u w:val="single"/>
        </w:rPr>
        <w:t>JGJ59-</w:t>
      </w:r>
      <w:r>
        <w:rPr>
          <w:rFonts w:hint="eastAsia" w:ascii="宋体" w:hAnsi="宋体" w:cs="宋体"/>
          <w:color w:val="auto"/>
          <w:kern w:val="0"/>
          <w:szCs w:val="21"/>
          <w:highlight w:val="none"/>
          <w:u w:val="single"/>
        </w:rPr>
        <w:t>2011标准在工地现场提供给发包人和监理人员的办公室及宿舍各</w:t>
      </w:r>
      <w:r>
        <w:rPr>
          <w:rFonts w:ascii="宋体" w:hAnsi="宋体" w:cs="宋体"/>
          <w:color w:val="auto"/>
          <w:kern w:val="0"/>
          <w:szCs w:val="21"/>
          <w:highlight w:val="none"/>
          <w:u w:val="single"/>
        </w:rPr>
        <w:t>1</w:t>
      </w:r>
      <w:r>
        <w:rPr>
          <w:rFonts w:hint="eastAsia" w:ascii="宋体" w:hAnsi="宋体"/>
          <w:color w:val="auto"/>
          <w:szCs w:val="21"/>
          <w:highlight w:val="none"/>
        </w:rPr>
        <w:t>间，并提供必要的办公家具，该费用包</w:t>
      </w:r>
      <w:r>
        <w:rPr>
          <w:rFonts w:hint="eastAsia" w:ascii="宋体" w:hAnsi="宋体" w:cs="宋体"/>
          <w:color w:val="auto"/>
          <w:kern w:val="0"/>
          <w:szCs w:val="21"/>
          <w:highlight w:val="none"/>
          <w:u w:val="single"/>
        </w:rPr>
        <w:t>含在合同价中，发包人不再另行支付</w:t>
      </w:r>
      <w:r>
        <w:rPr>
          <w:rFonts w:ascii="宋体" w:hAnsi="宋体"/>
          <w:color w:val="auto"/>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1.1.3.9永久占地包括：</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w:t>
      </w:r>
      <w:r>
        <w:rPr>
          <w:rFonts w:hint="eastAsia" w:ascii="宋体" w:hAnsi="宋体" w:cs="宋体"/>
          <w:color w:val="auto"/>
          <w:szCs w:val="21"/>
          <w:highlight w:val="none"/>
          <w:u w:val="single"/>
        </w:rPr>
        <w:t></w:t>
      </w:r>
      <w:r>
        <w:rPr>
          <w:rFonts w:ascii="宋体" w:hAnsi="宋体"/>
          <w:color w:val="auto"/>
          <w:kern w:val="0"/>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kern w:val="0"/>
          <w:szCs w:val="21"/>
          <w:highlight w:val="none"/>
        </w:rPr>
        <w:t>1.1.3.10临时占地包括：</w:t>
      </w:r>
      <w:r>
        <w:rPr>
          <w:rFonts w:hint="eastAsia" w:ascii="宋体" w:hAnsi="宋体"/>
          <w:color w:val="auto"/>
          <w:szCs w:val="21"/>
          <w:highlight w:val="none"/>
          <w:u w:val="single"/>
        </w:rPr>
        <w:t xml:space="preserve">  /</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1.3法律</w:t>
      </w:r>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适用</w:t>
      </w:r>
      <w:r>
        <w:rPr>
          <w:rFonts w:ascii="宋体" w:hAnsi="宋体"/>
          <w:color w:val="auto"/>
          <w:szCs w:val="21"/>
          <w:highlight w:val="none"/>
        </w:rPr>
        <w:t>于合同的其他规范性文件：</w:t>
      </w:r>
      <w:r>
        <w:rPr>
          <w:rFonts w:hint="eastAsia" w:ascii="宋体" w:hAnsi="宋体" w:cs="宋体"/>
          <w:color w:val="auto"/>
          <w:kern w:val="0"/>
          <w:szCs w:val="21"/>
          <w:highlight w:val="none"/>
          <w:u w:val="single"/>
        </w:rPr>
        <w:t>建设部与广东省有关建筑工程的标准、规范文件</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1.4标准和规范</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1.4.1适</w:t>
      </w:r>
      <w:r>
        <w:rPr>
          <w:rFonts w:ascii="宋体" w:hAnsi="宋体"/>
          <w:color w:val="auto"/>
          <w:szCs w:val="21"/>
          <w:highlight w:val="none"/>
        </w:rPr>
        <w:t>用于工程的标准规范包括：</w:t>
      </w:r>
      <w:r>
        <w:rPr>
          <w:rFonts w:hint="eastAsia" w:ascii="宋体" w:hAnsi="宋体" w:cs="宋体"/>
          <w:color w:val="auto"/>
          <w:szCs w:val="21"/>
          <w:highlight w:val="none"/>
          <w:u w:val="single"/>
        </w:rPr>
        <w:t>适用于工程的国家标准、行业标准、工程所在地的地方性标准，以及相应的规范、规程</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35" w:name="_Toc500157589"/>
      <w:r>
        <w:rPr>
          <w:rFonts w:ascii="宋体" w:hAnsi="宋体"/>
          <w:color w:val="auto"/>
          <w:kern w:val="0"/>
          <w:szCs w:val="21"/>
          <w:highlight w:val="none"/>
        </w:rPr>
        <w:t>1.4.2发包人提供国外标准、规范的名称：</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bookmarkEnd w:id="35"/>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pPr>
        <w:spacing w:line="400" w:lineRule="exact"/>
        <w:ind w:left="444" w:leftChars="202"/>
        <w:rPr>
          <w:rFonts w:ascii="宋体" w:hAnsi="宋体"/>
          <w:color w:val="auto"/>
          <w:szCs w:val="21"/>
          <w:highlight w:val="none"/>
        </w:rPr>
      </w:pPr>
      <w:r>
        <w:rPr>
          <w:rFonts w:ascii="宋体" w:hAnsi="宋体"/>
          <w:color w:val="auto"/>
          <w:szCs w:val="21"/>
          <w:highlight w:val="none"/>
        </w:rPr>
        <w:t>1.4.3发包人对工程的技术标准和功能要求的特殊要求</w:t>
      </w:r>
      <w:r>
        <w:rPr>
          <w:rFonts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36" w:name="_Toc500157590"/>
      <w:r>
        <w:rPr>
          <w:rFonts w:ascii="宋体" w:hAnsi="宋体"/>
          <w:color w:val="auto"/>
          <w:kern w:val="0"/>
          <w:szCs w:val="21"/>
          <w:highlight w:val="none"/>
        </w:rPr>
        <w:t>1.5合同文件的优先顺序</w:t>
      </w:r>
      <w:bookmarkEnd w:id="36"/>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合同文</w:t>
      </w:r>
      <w:r>
        <w:rPr>
          <w:rFonts w:ascii="宋体" w:hAnsi="宋体"/>
          <w:color w:val="auto"/>
          <w:szCs w:val="21"/>
          <w:highlight w:val="none"/>
        </w:rPr>
        <w:t>件组成及优先顺序为：</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①合同协议书；</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②履行本合同的相关补充协议（含工程洽商纪录、会议纪要、工程变更、现场签证、索赔和合同价款调整报告等修正文件）；</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③中标通知书；</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④专用合同条款及其附件；</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⑤招标文件；</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⑥通用合同条款；</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⑦投标文件及其附录；</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⑧技术标准和要求；</w:t>
      </w:r>
    </w:p>
    <w:p>
      <w:pPr>
        <w:spacing w:line="400" w:lineRule="exact"/>
        <w:ind w:firstLine="440" w:firstLineChars="200"/>
        <w:rPr>
          <w:rFonts w:ascii="宋体" w:hAnsi="宋体"/>
          <w:color w:val="auto"/>
          <w:szCs w:val="21"/>
          <w:highlight w:val="none"/>
          <w:u w:val="single"/>
        </w:rPr>
      </w:pPr>
      <w:r>
        <w:rPr>
          <w:rFonts w:hint="eastAsia" w:ascii="宋体" w:hAnsi="宋体"/>
          <w:color w:val="auto"/>
          <w:szCs w:val="21"/>
          <w:highlight w:val="none"/>
          <w:u w:val="single"/>
        </w:rPr>
        <w:t>⑨图纸；其他合同文件</w:t>
      </w:r>
    </w:p>
    <w:p>
      <w:pPr>
        <w:spacing w:line="400" w:lineRule="exact"/>
        <w:ind w:firstLine="440" w:firstLineChars="200"/>
        <w:rPr>
          <w:rFonts w:hint="eastAsia" w:ascii="宋体" w:hAnsi="宋体"/>
          <w:color w:val="auto"/>
          <w:szCs w:val="21"/>
          <w:highlight w:val="none"/>
          <w:u w:val="single"/>
        </w:rPr>
      </w:pPr>
      <w:r>
        <w:rPr>
          <w:rFonts w:hint="eastAsia" w:ascii="宋体" w:hAnsi="宋体"/>
          <w:color w:val="auto"/>
          <w:szCs w:val="21"/>
          <w:highlight w:val="none"/>
          <w:u w:val="single"/>
        </w:rPr>
        <w:t>⑩已标价的工程量清单或预算书；</w:t>
      </w:r>
    </w:p>
    <w:p>
      <w:pPr>
        <w:spacing w:line="400" w:lineRule="exact"/>
        <w:ind w:firstLine="440" w:firstLineChars="200"/>
        <w:rPr>
          <w:rFonts w:hint="eastAsia" w:ascii="宋体" w:hAnsi="宋体"/>
          <w:color w:val="auto"/>
          <w:szCs w:val="21"/>
          <w:highlight w:val="none"/>
          <w:u w:val="single"/>
        </w:rPr>
      </w:pPr>
      <w:r>
        <w:rPr>
          <w:rFonts w:hint="eastAsia" w:ascii="宋体" w:hAnsi="宋体"/>
          <w:color w:val="auto"/>
          <w:szCs w:val="21"/>
          <w:highlight w:val="none"/>
          <w:u w:val="single"/>
        </w:rPr>
        <w:t>⑪其他合同文件。</w:t>
      </w:r>
    </w:p>
    <w:p>
      <w:pPr>
        <w:spacing w:line="360" w:lineRule="auto"/>
        <w:ind w:firstLine="440" w:firstLineChars="200"/>
        <w:rPr>
          <w:rFonts w:ascii="宋体" w:hAnsi="宋体"/>
          <w:color w:val="auto"/>
          <w:kern w:val="0"/>
          <w:szCs w:val="21"/>
          <w:highlight w:val="none"/>
        </w:rPr>
      </w:pPr>
      <w:bookmarkStart w:id="37" w:name="_Toc500157591"/>
      <w:r>
        <w:rPr>
          <w:rFonts w:ascii="宋体" w:hAnsi="宋体"/>
          <w:color w:val="auto"/>
          <w:kern w:val="0"/>
          <w:szCs w:val="21"/>
          <w:highlight w:val="none"/>
        </w:rPr>
        <w:t>1.6图纸和承包人文件</w:t>
      </w:r>
      <w:bookmarkEnd w:id="37"/>
    </w:p>
    <w:p>
      <w:pPr>
        <w:spacing w:line="360" w:lineRule="auto"/>
        <w:ind w:firstLine="440" w:firstLineChars="200"/>
        <w:rPr>
          <w:rFonts w:ascii="宋体" w:hAnsi="宋体"/>
          <w:color w:val="auto"/>
          <w:szCs w:val="21"/>
          <w:highlight w:val="none"/>
        </w:rPr>
      </w:pPr>
      <w:r>
        <w:rPr>
          <w:rFonts w:ascii="宋体" w:hAnsi="宋体"/>
          <w:color w:val="auto"/>
          <w:kern w:val="0"/>
          <w:szCs w:val="21"/>
          <w:highlight w:val="none"/>
        </w:rPr>
        <w:t>1.6.1</w:t>
      </w:r>
      <w:r>
        <w:rPr>
          <w:rFonts w:ascii="宋体" w:hAnsi="宋体"/>
          <w:color w:val="auto"/>
          <w:szCs w:val="21"/>
          <w:highlight w:val="none"/>
        </w:rPr>
        <w:t>图纸的提供</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发包人向承包人提供图纸的期限：</w:t>
      </w:r>
      <w:r>
        <w:rPr>
          <w:rFonts w:hint="eastAsia" w:ascii="宋体" w:hAnsi="宋体" w:cs="宋体"/>
          <w:color w:val="auto"/>
          <w:kern w:val="0"/>
          <w:szCs w:val="21"/>
          <w:highlight w:val="none"/>
          <w:u w:val="single"/>
        </w:rPr>
        <w:t>合同签订后7天内</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发包人向承包人提供图纸的数量：</w:t>
      </w:r>
      <w:r>
        <w:rPr>
          <w:rFonts w:hint="eastAsia" w:ascii="宋体" w:hAnsi="宋体" w:cs="宋体"/>
          <w:color w:val="auto"/>
          <w:kern w:val="0"/>
          <w:szCs w:val="21"/>
          <w:highlight w:val="none"/>
          <w:u w:val="single"/>
        </w:rPr>
        <w:t>提供2套图纸</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发包人向承包人提供图纸的内容：</w:t>
      </w:r>
      <w:r>
        <w:rPr>
          <w:rFonts w:hint="eastAsia" w:ascii="宋体" w:hAnsi="宋体" w:cs="MingLiU_HKSCS"/>
          <w:color w:val="auto"/>
          <w:szCs w:val="21"/>
          <w:highlight w:val="none"/>
          <w:u w:val="single"/>
        </w:rPr>
        <w:t>施工图纸</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1.6.4承包人文件</w:t>
      </w:r>
    </w:p>
    <w:p>
      <w:pPr>
        <w:spacing w:line="360" w:lineRule="auto"/>
        <w:ind w:left="444" w:leftChars="202"/>
        <w:jc w:val="left"/>
        <w:rPr>
          <w:rFonts w:ascii="宋体" w:hAnsi="宋体"/>
          <w:color w:val="auto"/>
          <w:szCs w:val="21"/>
          <w:highlight w:val="none"/>
          <w:u w:val="single"/>
        </w:rPr>
      </w:pPr>
      <w:r>
        <w:rPr>
          <w:rFonts w:ascii="宋体" w:hAnsi="宋体"/>
          <w:color w:val="auto"/>
          <w:szCs w:val="21"/>
          <w:highlight w:val="none"/>
        </w:rPr>
        <w:t>需要由承包人提供的文件，包括：</w:t>
      </w:r>
      <w:r>
        <w:rPr>
          <w:rFonts w:hint="eastAsia" w:ascii="宋体" w:hAnsi="宋体" w:cs="MingLiU_HKSCS"/>
          <w:color w:val="auto"/>
          <w:szCs w:val="21"/>
          <w:highlight w:val="none"/>
          <w:u w:val="single"/>
        </w:rPr>
        <w:t>施工组织设计，施工技术措施及各项资源需要量的计划等</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承包人提供的文件的期限为：</w:t>
      </w:r>
      <w:r>
        <w:rPr>
          <w:rFonts w:hint="eastAsia" w:ascii="宋体" w:hAnsi="宋体" w:cs="MingLiU_HKSCS"/>
          <w:color w:val="auto"/>
          <w:szCs w:val="21"/>
          <w:highlight w:val="none"/>
          <w:u w:val="single"/>
        </w:rPr>
        <w:t>接到中标通知书7天内</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承包人提供的文件的数量为：</w:t>
      </w:r>
      <w:r>
        <w:rPr>
          <w:rFonts w:hint="eastAsia" w:ascii="宋体" w:hAnsi="宋体"/>
          <w:color w:val="auto"/>
          <w:szCs w:val="21"/>
          <w:highlight w:val="none"/>
          <w:u w:val="single"/>
        </w:rPr>
        <w:t>4份</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承包人提供的文件的形式为：</w:t>
      </w:r>
      <w:r>
        <w:rPr>
          <w:rFonts w:hint="eastAsia" w:ascii="宋体" w:hAnsi="宋体"/>
          <w:color w:val="auto"/>
          <w:szCs w:val="21"/>
          <w:highlight w:val="none"/>
          <w:u w:val="single"/>
        </w:rPr>
        <w:t>纸质书面</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承包人文件的期限：</w:t>
      </w:r>
      <w:r>
        <w:rPr>
          <w:rFonts w:hint="eastAsia" w:ascii="宋体" w:hAnsi="宋体" w:cs="宋体"/>
          <w:color w:val="auto"/>
          <w:szCs w:val="21"/>
          <w:highlight w:val="none"/>
          <w:u w:val="single"/>
        </w:rPr>
        <w:t></w:t>
      </w:r>
      <w:r>
        <w:rPr>
          <w:rFonts w:hint="eastAsia" w:ascii="宋体" w:hAnsi="宋体"/>
          <w:color w:val="auto"/>
          <w:szCs w:val="21"/>
          <w:highlight w:val="none"/>
          <w:u w:val="single"/>
        </w:rPr>
        <w:t>/</w:t>
      </w:r>
      <w:r>
        <w:rPr>
          <w:rFonts w:hint="eastAsia" w:ascii="宋体" w:hAnsi="宋体" w:cs="宋体"/>
          <w:color w:val="auto"/>
          <w:szCs w:val="21"/>
          <w:highlight w:val="none"/>
          <w:u w:val="single"/>
        </w:rPr>
        <w:t></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1.6.5现场图纸准备</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关于现场图纸准备的约定：</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p>
      <w:pPr>
        <w:spacing w:line="360" w:lineRule="auto"/>
        <w:ind w:firstLine="440" w:firstLineChars="200"/>
        <w:rPr>
          <w:rFonts w:ascii="宋体" w:hAnsi="宋体"/>
          <w:color w:val="auto"/>
          <w:kern w:val="0"/>
          <w:szCs w:val="21"/>
          <w:highlight w:val="none"/>
        </w:rPr>
      </w:pPr>
      <w:bookmarkStart w:id="38" w:name="_Toc500157592"/>
      <w:r>
        <w:rPr>
          <w:rFonts w:ascii="宋体" w:hAnsi="宋体"/>
          <w:color w:val="auto"/>
          <w:kern w:val="0"/>
          <w:szCs w:val="21"/>
          <w:highlight w:val="none"/>
        </w:rPr>
        <w:t>1.7联络</w:t>
      </w:r>
      <w:bookmarkEnd w:id="38"/>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1.7.1发包人和承包人应当在</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7 </w:t>
      </w:r>
      <w:r>
        <w:rPr>
          <w:rFonts w:ascii="宋体" w:hAnsi="宋体"/>
          <w:color w:val="auto"/>
          <w:kern w:val="0"/>
          <w:szCs w:val="21"/>
          <w:highlight w:val="none"/>
        </w:rPr>
        <w:t>天内将与合同有关的通知、批准、证明、证书、指示、指令、要求、请求、同意、意见、确定和决定等书面函件送达对方当事人</w:t>
      </w:r>
      <w:r>
        <w:rPr>
          <w:rFonts w:hint="eastAsia" w:ascii="宋体" w:hAnsi="宋体"/>
          <w:color w:val="auto"/>
          <w:kern w:val="0"/>
          <w:szCs w:val="21"/>
          <w:highlight w:val="none"/>
        </w:rPr>
        <w:t>。</w:t>
      </w:r>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1.7.2发包人接收文件的地点：</w:t>
      </w:r>
      <w:r>
        <w:rPr>
          <w:rFonts w:hint="eastAsia" w:ascii="宋体" w:hAnsi="宋体" w:cs="宋体"/>
          <w:color w:val="auto"/>
          <w:szCs w:val="21"/>
          <w:highlight w:val="none"/>
          <w:u w:val="single"/>
        </w:rPr>
        <w:t> </w:t>
      </w:r>
      <w:r>
        <w:rPr>
          <w:rFonts w:ascii="宋体" w:hAnsi="宋体"/>
          <w:color w:val="auto"/>
          <w:kern w:val="0"/>
          <w:szCs w:val="21"/>
          <w:highlight w:val="none"/>
        </w:rPr>
        <w:t>；</w:t>
      </w:r>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发包人指定的接收人为：</w:t>
      </w:r>
      <w:r>
        <w:rPr>
          <w:rFonts w:hint="eastAsia" w:ascii="宋体" w:hAnsi="宋体" w:cs="宋体"/>
          <w:color w:val="auto"/>
          <w:szCs w:val="21"/>
          <w:highlight w:val="none"/>
          <w:u w:val="single"/>
        </w:rPr>
        <w:t> </w:t>
      </w:r>
      <w:r>
        <w:rPr>
          <w:rFonts w:ascii="宋体" w:hAnsi="宋体"/>
          <w:color w:val="auto"/>
          <w:kern w:val="0"/>
          <w:szCs w:val="21"/>
          <w:highlight w:val="none"/>
        </w:rPr>
        <w:t>。</w:t>
      </w:r>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承包人接收文件的地点：</w:t>
      </w:r>
      <w:r>
        <w:rPr>
          <w:rFonts w:hint="eastAsia" w:ascii="宋体" w:hAnsi="宋体" w:cs="宋体"/>
          <w:color w:val="auto"/>
          <w:szCs w:val="21"/>
          <w:highlight w:val="none"/>
          <w:u w:val="single"/>
        </w:rPr>
        <w:t> </w:t>
      </w:r>
      <w:r>
        <w:rPr>
          <w:rFonts w:ascii="宋体" w:hAnsi="宋体"/>
          <w:color w:val="auto"/>
          <w:kern w:val="0"/>
          <w:szCs w:val="21"/>
          <w:highlight w:val="none"/>
        </w:rPr>
        <w:t>；</w:t>
      </w:r>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承包人指定的接收人为：</w:t>
      </w:r>
      <w:r>
        <w:rPr>
          <w:rFonts w:hint="eastAsia" w:ascii="宋体" w:hAnsi="宋体" w:cs="宋体"/>
          <w:color w:val="auto"/>
          <w:szCs w:val="21"/>
          <w:highlight w:val="none"/>
          <w:u w:val="single"/>
        </w:rPr>
        <w:t> </w:t>
      </w:r>
      <w:r>
        <w:rPr>
          <w:rFonts w:ascii="宋体" w:hAnsi="宋体"/>
          <w:color w:val="auto"/>
          <w:kern w:val="0"/>
          <w:szCs w:val="21"/>
          <w:highlight w:val="none"/>
        </w:rPr>
        <w:t>。</w:t>
      </w:r>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监理人接收文件的地点：</w:t>
      </w:r>
      <w:r>
        <w:rPr>
          <w:rFonts w:hint="eastAsia" w:ascii="宋体" w:hAnsi="宋体" w:cs="宋体"/>
          <w:color w:val="auto"/>
          <w:szCs w:val="21"/>
          <w:highlight w:val="none"/>
          <w:u w:val="single"/>
        </w:rPr>
        <w:t> </w:t>
      </w:r>
      <w:r>
        <w:rPr>
          <w:rFonts w:ascii="宋体" w:hAnsi="宋体"/>
          <w:color w:val="auto"/>
          <w:kern w:val="0"/>
          <w:szCs w:val="21"/>
          <w:highlight w:val="none"/>
        </w:rPr>
        <w:t>；</w:t>
      </w:r>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监理人指定的接收人为：</w:t>
      </w:r>
      <w:r>
        <w:rPr>
          <w:rFonts w:hint="eastAsia" w:ascii="宋体" w:hAnsi="宋体" w:cs="宋体"/>
          <w:color w:val="auto"/>
          <w:szCs w:val="21"/>
          <w:highlight w:val="none"/>
          <w:u w:val="single"/>
        </w:rPr>
        <w:t> </w:t>
      </w:r>
      <w:r>
        <w:rPr>
          <w:rFonts w:ascii="宋体" w:hAnsi="宋体"/>
          <w:color w:val="auto"/>
          <w:kern w:val="0"/>
          <w:szCs w:val="21"/>
          <w:highlight w:val="none"/>
        </w:rPr>
        <w:t>。</w:t>
      </w:r>
    </w:p>
    <w:p>
      <w:pPr>
        <w:spacing w:line="360" w:lineRule="auto"/>
        <w:ind w:firstLine="440" w:firstLineChars="200"/>
        <w:rPr>
          <w:rFonts w:ascii="宋体" w:hAnsi="宋体"/>
          <w:color w:val="auto"/>
          <w:kern w:val="0"/>
          <w:szCs w:val="21"/>
          <w:highlight w:val="none"/>
        </w:rPr>
      </w:pPr>
      <w:bookmarkStart w:id="39" w:name="_Toc500157593"/>
      <w:r>
        <w:rPr>
          <w:rFonts w:ascii="宋体" w:hAnsi="宋体"/>
          <w:color w:val="auto"/>
          <w:kern w:val="0"/>
          <w:szCs w:val="21"/>
          <w:highlight w:val="none"/>
        </w:rPr>
        <w:t>1.10交通运输</w:t>
      </w:r>
      <w:bookmarkEnd w:id="39"/>
    </w:p>
    <w:p>
      <w:pPr>
        <w:spacing w:line="360" w:lineRule="auto"/>
        <w:ind w:firstLine="440" w:firstLineChars="200"/>
        <w:rPr>
          <w:rFonts w:ascii="宋体" w:hAnsi="宋体"/>
          <w:color w:val="auto"/>
          <w:szCs w:val="21"/>
          <w:highlight w:val="none"/>
        </w:rPr>
      </w:pPr>
      <w:bookmarkStart w:id="40" w:name="_Toc500157594"/>
      <w:r>
        <w:rPr>
          <w:rFonts w:ascii="宋体" w:hAnsi="宋体"/>
          <w:color w:val="auto"/>
          <w:kern w:val="0"/>
          <w:szCs w:val="21"/>
          <w:highlight w:val="none"/>
        </w:rPr>
        <w:t>1</w:t>
      </w:r>
      <w:bookmarkStart w:id="41" w:name="_Toc318581155"/>
      <w:bookmarkStart w:id="42" w:name="_Toc312677986"/>
      <w:bookmarkStart w:id="43" w:name="_Toc300934943"/>
      <w:bookmarkStart w:id="44" w:name="_Toc303539100"/>
      <w:bookmarkStart w:id="45" w:name="_Toc304295521"/>
      <w:r>
        <w:rPr>
          <w:rFonts w:ascii="宋体" w:hAnsi="宋体"/>
          <w:color w:val="auto"/>
          <w:kern w:val="0"/>
          <w:szCs w:val="21"/>
          <w:highlight w:val="none"/>
        </w:rPr>
        <w:t>.10.1</w:t>
      </w:r>
      <w:r>
        <w:rPr>
          <w:rFonts w:ascii="宋体" w:hAnsi="宋体"/>
          <w:color w:val="auto"/>
          <w:szCs w:val="21"/>
          <w:highlight w:val="none"/>
        </w:rPr>
        <w:t>出入现场的权利</w:t>
      </w:r>
      <w:bookmarkEnd w:id="40"/>
    </w:p>
    <w:p>
      <w:pPr>
        <w:spacing w:line="360" w:lineRule="auto"/>
        <w:ind w:left="444" w:leftChars="202"/>
        <w:rPr>
          <w:rFonts w:ascii="宋体" w:hAnsi="宋体"/>
          <w:color w:val="auto"/>
          <w:szCs w:val="21"/>
          <w:highlight w:val="none"/>
          <w:u w:val="single"/>
        </w:rPr>
      </w:pPr>
      <w:r>
        <w:rPr>
          <w:rFonts w:ascii="宋体" w:hAnsi="宋体"/>
          <w:color w:val="auto"/>
          <w:szCs w:val="21"/>
          <w:highlight w:val="none"/>
        </w:rPr>
        <w:t>关于出入现场的权利的约定：</w:t>
      </w:r>
      <w:r>
        <w:rPr>
          <w:rFonts w:hint="eastAsia" w:ascii="宋体" w:hAnsi="宋体" w:cs="宋体"/>
          <w:color w:val="auto"/>
          <w:szCs w:val="21"/>
          <w:highlight w:val="none"/>
          <w:u w:val="single"/>
        </w:rPr>
        <w:t xml:space="preserve">  /</w:t>
      </w:r>
      <w:r>
        <w:rPr>
          <w:rFonts w:ascii="宋体" w:hAnsi="宋体"/>
          <w:color w:val="auto"/>
          <w:szCs w:val="21"/>
          <w:highlight w:val="none"/>
        </w:rPr>
        <w:t>。</w:t>
      </w:r>
    </w:p>
    <w:bookmarkEnd w:id="41"/>
    <w:bookmarkEnd w:id="42"/>
    <w:bookmarkEnd w:id="43"/>
    <w:bookmarkEnd w:id="44"/>
    <w:bookmarkEnd w:id="45"/>
    <w:p>
      <w:pPr>
        <w:spacing w:line="360" w:lineRule="auto"/>
        <w:ind w:firstLine="440" w:firstLineChars="200"/>
        <w:rPr>
          <w:rFonts w:ascii="宋体" w:hAnsi="宋体"/>
          <w:color w:val="auto"/>
          <w:kern w:val="0"/>
          <w:szCs w:val="21"/>
          <w:highlight w:val="none"/>
        </w:rPr>
      </w:pPr>
      <w:bookmarkStart w:id="46" w:name="_Toc500157595"/>
      <w:r>
        <w:rPr>
          <w:rFonts w:ascii="宋体" w:hAnsi="宋体"/>
          <w:color w:val="auto"/>
          <w:kern w:val="0"/>
          <w:szCs w:val="21"/>
          <w:highlight w:val="none"/>
        </w:rPr>
        <w:t>1</w:t>
      </w:r>
      <w:bookmarkStart w:id="47" w:name="_Toc304295522"/>
      <w:bookmarkStart w:id="48" w:name="_Toc312677987"/>
      <w:bookmarkStart w:id="49" w:name="_Toc303539101"/>
      <w:bookmarkStart w:id="50" w:name="_Toc318581156"/>
      <w:bookmarkStart w:id="51" w:name="_Toc300934944"/>
      <w:r>
        <w:rPr>
          <w:rFonts w:ascii="宋体" w:hAnsi="宋体"/>
          <w:color w:val="auto"/>
          <w:kern w:val="0"/>
          <w:szCs w:val="21"/>
          <w:highlight w:val="none"/>
        </w:rPr>
        <w:t>.10.3场内交通</w:t>
      </w:r>
      <w:bookmarkEnd w:id="46"/>
    </w:p>
    <w:p>
      <w:pPr>
        <w:spacing w:line="360" w:lineRule="auto"/>
        <w:ind w:firstLine="440" w:firstLineChars="200"/>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hint="eastAsia" w:ascii="宋体" w:hAnsi="宋体" w:cs="宋体"/>
          <w:color w:val="auto"/>
          <w:szCs w:val="21"/>
          <w:highlight w:val="none"/>
          <w:u w:val="single"/>
        </w:rPr>
        <w:t xml:space="preserve">  /</w:t>
      </w:r>
      <w:r>
        <w:rPr>
          <w:rFonts w:ascii="宋体" w:hAnsi="宋体"/>
          <w:color w:val="auto"/>
          <w:szCs w:val="21"/>
          <w:highlight w:val="none"/>
        </w:rPr>
        <w:t>。</w:t>
      </w:r>
    </w:p>
    <w:p>
      <w:pPr>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s="宋体"/>
          <w:color w:val="auto"/>
          <w:kern w:val="0"/>
          <w:szCs w:val="21"/>
          <w:highlight w:val="none"/>
          <w:u w:val="single"/>
        </w:rPr>
        <w:t>开工前</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天按满足施工运输的需要协调有关部门开通道路，由承包人办理相关手续和承担相关费用，施工期间承包人施工运输不得损坏公共道路，如因承包人原因损坏或污染公共道路，由承包人负责修复并承担相关费用</w:t>
      </w:r>
      <w:r>
        <w:rPr>
          <w:rFonts w:ascii="宋体" w:hAnsi="宋体"/>
          <w:color w:val="auto"/>
          <w:szCs w:val="21"/>
          <w:highlight w:val="none"/>
        </w:rPr>
        <w:t>。</w:t>
      </w:r>
      <w:bookmarkEnd w:id="47"/>
      <w:bookmarkEnd w:id="48"/>
      <w:bookmarkEnd w:id="49"/>
      <w:bookmarkEnd w:id="50"/>
      <w:bookmarkEnd w:id="51"/>
      <w:bookmarkStart w:id="52" w:name="_Toc318581157"/>
    </w:p>
    <w:p>
      <w:pPr>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1.10.4超大件和超重件的运输</w:t>
      </w:r>
    </w:p>
    <w:p>
      <w:pPr>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ascii="宋体" w:hAnsi="宋体"/>
          <w:color w:val="auto"/>
          <w:szCs w:val="21"/>
          <w:highlight w:val="none"/>
        </w:rPr>
        <w:t>承担。</w:t>
      </w:r>
    </w:p>
    <w:bookmarkEnd w:id="52"/>
    <w:p>
      <w:pPr>
        <w:spacing w:line="360" w:lineRule="auto"/>
        <w:ind w:firstLine="440" w:firstLineChars="200"/>
        <w:rPr>
          <w:rFonts w:ascii="宋体" w:hAnsi="宋体"/>
          <w:color w:val="auto"/>
          <w:kern w:val="0"/>
          <w:szCs w:val="21"/>
          <w:highlight w:val="none"/>
        </w:rPr>
      </w:pPr>
      <w:bookmarkStart w:id="53" w:name="_Toc500157596"/>
      <w:r>
        <w:rPr>
          <w:rFonts w:ascii="宋体" w:hAnsi="宋体"/>
          <w:color w:val="auto"/>
          <w:kern w:val="0"/>
          <w:szCs w:val="21"/>
          <w:highlight w:val="none"/>
        </w:rPr>
        <w:t>1.11知识产权</w:t>
      </w:r>
      <w:bookmarkEnd w:id="53"/>
    </w:p>
    <w:p>
      <w:pPr>
        <w:spacing w:line="360" w:lineRule="auto"/>
        <w:ind w:firstLine="440" w:firstLineChars="200"/>
        <w:jc w:val="left"/>
        <w:rPr>
          <w:rFonts w:ascii="宋体" w:hAnsi="宋体"/>
          <w:color w:val="auto"/>
          <w:szCs w:val="21"/>
          <w:highlight w:val="none"/>
        </w:rPr>
      </w:pPr>
      <w:r>
        <w:rPr>
          <w:rFonts w:ascii="宋体" w:hAnsi="宋体"/>
          <w:color w:val="auto"/>
          <w:kern w:val="0"/>
          <w:szCs w:val="21"/>
          <w:highlight w:val="none"/>
        </w:rPr>
        <w:t>1.11.1</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仅用于本工程</w:t>
      </w:r>
      <w:r>
        <w:rPr>
          <w:rFonts w:hint="eastAsia" w:ascii="宋体" w:hAnsi="宋体" w:cs="宋体"/>
          <w:color w:val="auto"/>
          <w:szCs w:val="21"/>
          <w:highlight w:val="none"/>
          <w:u w:val="single"/>
        </w:rPr>
        <w:t xml:space="preserve"> </w:t>
      </w:r>
      <w:r>
        <w:rPr>
          <w:rFonts w:ascii="宋体" w:hAnsi="宋体"/>
          <w:color w:val="auto"/>
          <w:szCs w:val="21"/>
          <w:highlight w:val="none"/>
        </w:rPr>
        <w:t>。</w:t>
      </w:r>
    </w:p>
    <w:p>
      <w:pPr>
        <w:spacing w:line="360" w:lineRule="auto"/>
        <w:ind w:firstLine="440" w:firstLineChars="200"/>
        <w:jc w:val="left"/>
        <w:rPr>
          <w:rFonts w:ascii="宋体" w:hAnsi="宋体"/>
          <w:color w:val="auto"/>
          <w:szCs w:val="21"/>
          <w:highlight w:val="none"/>
        </w:rPr>
      </w:pPr>
      <w:bookmarkStart w:id="54" w:name="_Toc500157597"/>
      <w:r>
        <w:rPr>
          <w:rFonts w:ascii="宋体" w:hAnsi="宋体"/>
          <w:color w:val="auto"/>
          <w:szCs w:val="21"/>
          <w:highlight w:val="none"/>
        </w:rPr>
        <w:t>1.11.2关于承包人为实施工程所编制文件的著作权的归属：</w:t>
      </w:r>
      <w:r>
        <w:rPr>
          <w:rFonts w:hint="eastAsia" w:ascii="宋体" w:hAnsi="宋体"/>
          <w:color w:val="auto"/>
          <w:szCs w:val="21"/>
          <w:highlight w:val="none"/>
          <w:u w:val="single"/>
        </w:rPr>
        <w:t xml:space="preserve">  /</w:t>
      </w:r>
      <w:r>
        <w:rPr>
          <w:rFonts w:ascii="宋体" w:hAnsi="宋体"/>
          <w:color w:val="auto"/>
          <w:szCs w:val="21"/>
          <w:highlight w:val="none"/>
        </w:rPr>
        <w:t>。</w:t>
      </w:r>
      <w:bookmarkEnd w:id="54"/>
    </w:p>
    <w:p>
      <w:pPr>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关于承包人提供的上述文件的使用限制的要求：</w:t>
      </w:r>
      <w:r>
        <w:rPr>
          <w:rFonts w:hint="eastAsia" w:ascii="宋体" w:hAnsi="宋体" w:cs="宋体"/>
          <w:color w:val="auto"/>
          <w:szCs w:val="21"/>
          <w:highlight w:val="none"/>
          <w:u w:val="single"/>
        </w:rPr>
        <w:t xml:space="preserve">  /</w:t>
      </w:r>
      <w:r>
        <w:rPr>
          <w:rFonts w:ascii="宋体" w:hAnsi="宋体"/>
          <w:color w:val="auto"/>
          <w:szCs w:val="21"/>
          <w:highlight w:val="none"/>
        </w:rPr>
        <w:t>。</w:t>
      </w:r>
    </w:p>
    <w:p>
      <w:pPr>
        <w:spacing w:line="360" w:lineRule="auto"/>
        <w:ind w:firstLine="440" w:firstLineChars="200"/>
        <w:jc w:val="left"/>
        <w:rPr>
          <w:rFonts w:ascii="宋体" w:hAnsi="宋体"/>
          <w:color w:val="auto"/>
          <w:szCs w:val="21"/>
          <w:highlight w:val="none"/>
        </w:rPr>
      </w:pPr>
      <w:bookmarkStart w:id="55" w:name="_Toc500157598"/>
      <w:r>
        <w:rPr>
          <w:rFonts w:ascii="宋体" w:hAnsi="宋体"/>
          <w:color w:val="auto"/>
          <w:szCs w:val="21"/>
          <w:highlight w:val="none"/>
        </w:rPr>
        <w:t>1.11.4承包人在施工过程中所采用的专利、专有技术、技术秘密的使用费的承担方式：</w:t>
      </w:r>
      <w:r>
        <w:rPr>
          <w:rFonts w:hint="eastAsia" w:ascii="宋体" w:hAnsi="宋体"/>
          <w:color w:val="auto"/>
          <w:szCs w:val="21"/>
          <w:highlight w:val="none"/>
        </w:rPr>
        <w:t>承包人承担</w:t>
      </w:r>
      <w:r>
        <w:rPr>
          <w:rFonts w:ascii="宋体" w:hAnsi="宋体"/>
          <w:color w:val="auto"/>
          <w:szCs w:val="21"/>
          <w:highlight w:val="none"/>
        </w:rPr>
        <w:t>。</w:t>
      </w:r>
      <w:bookmarkEnd w:id="55"/>
    </w:p>
    <w:p>
      <w:pPr>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1.13工程量清单错误的修正</w:t>
      </w:r>
    </w:p>
    <w:p>
      <w:pPr>
        <w:spacing w:line="360" w:lineRule="auto"/>
        <w:ind w:firstLine="44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执行专用条款12.1款</w:t>
      </w:r>
      <w:r>
        <w:rPr>
          <w:rFonts w:ascii="宋体" w:hAnsi="宋体"/>
          <w:color w:val="auto"/>
          <w:szCs w:val="21"/>
          <w:highlight w:val="none"/>
        </w:rPr>
        <w:t>。</w:t>
      </w:r>
    </w:p>
    <w:p>
      <w:pPr>
        <w:spacing w:line="360" w:lineRule="auto"/>
        <w:ind w:firstLine="440" w:firstLineChars="200"/>
        <w:jc w:val="left"/>
        <w:rPr>
          <w:rFonts w:ascii="宋体" w:hAnsi="宋体"/>
          <w:color w:val="auto"/>
          <w:szCs w:val="21"/>
          <w:highlight w:val="none"/>
        </w:rPr>
      </w:pPr>
      <w:r>
        <w:rPr>
          <w:rFonts w:ascii="宋体" w:hAnsi="宋体"/>
          <w:color w:val="auto"/>
          <w:szCs w:val="21"/>
          <w:highlight w:val="none"/>
        </w:rPr>
        <w:t>允许调整合同价格的工程量偏差范围：</w:t>
      </w:r>
      <w:r>
        <w:rPr>
          <w:rFonts w:hint="eastAsia" w:ascii="宋体" w:hAnsi="宋体"/>
          <w:color w:val="auto"/>
          <w:szCs w:val="21"/>
          <w:highlight w:val="none"/>
          <w:u w:val="single"/>
        </w:rPr>
        <w:t>执行专用条款12.1款</w:t>
      </w:r>
      <w:r>
        <w:rPr>
          <w:rFonts w:ascii="宋体" w:hAnsi="宋体"/>
          <w:color w:val="auto"/>
          <w:szCs w:val="21"/>
          <w:highlight w:val="none"/>
        </w:rPr>
        <w:t>。</w:t>
      </w:r>
    </w:p>
    <w:p>
      <w:pPr>
        <w:bidi w:val="0"/>
        <w:spacing w:line="360" w:lineRule="auto"/>
        <w:ind w:firstLine="440" w:firstLineChars="200"/>
      </w:pPr>
      <w:bookmarkStart w:id="56" w:name="_Toc500157599"/>
      <w:r>
        <w:t>2</w:t>
      </w:r>
      <w:bookmarkStart w:id="57" w:name="_Toc296346658"/>
      <w:bookmarkStart w:id="58" w:name="_Toc296890985"/>
      <w:bookmarkStart w:id="59" w:name="_Toc297048343"/>
      <w:bookmarkStart w:id="60" w:name="_Toc296944496"/>
      <w:bookmarkStart w:id="61" w:name="_Toc296503157"/>
      <w:bookmarkStart w:id="62" w:name="_Toc296891197"/>
      <w:bookmarkStart w:id="63" w:name="_Toc292559362"/>
      <w:bookmarkStart w:id="64" w:name="_Toc292559867"/>
      <w:bookmarkStart w:id="65" w:name="_Toc297120457"/>
      <w:bookmarkStart w:id="66" w:name="_Toc296347156"/>
      <w:r>
        <w:t>.发包人</w:t>
      </w:r>
      <w:bookmarkEnd w:id="56"/>
    </w:p>
    <w:bookmarkEnd w:id="57"/>
    <w:bookmarkEnd w:id="58"/>
    <w:bookmarkEnd w:id="59"/>
    <w:bookmarkEnd w:id="60"/>
    <w:bookmarkEnd w:id="61"/>
    <w:bookmarkEnd w:id="62"/>
    <w:bookmarkEnd w:id="63"/>
    <w:bookmarkEnd w:id="64"/>
    <w:bookmarkEnd w:id="65"/>
    <w:bookmarkEnd w:id="66"/>
    <w:p>
      <w:pPr>
        <w:spacing w:line="360" w:lineRule="auto"/>
        <w:ind w:firstLine="440" w:firstLineChars="200"/>
        <w:rPr>
          <w:rFonts w:ascii="宋体" w:hAnsi="宋体"/>
          <w:color w:val="auto"/>
          <w:kern w:val="0"/>
          <w:szCs w:val="21"/>
          <w:highlight w:val="none"/>
        </w:rPr>
      </w:pPr>
      <w:bookmarkStart w:id="67" w:name="_Toc500157600"/>
      <w:r>
        <w:rPr>
          <w:rFonts w:ascii="宋体" w:hAnsi="宋体"/>
          <w:color w:val="auto"/>
          <w:kern w:val="0"/>
          <w:szCs w:val="21"/>
          <w:highlight w:val="none"/>
        </w:rPr>
        <w:t>2.2发包人代表</w:t>
      </w:r>
      <w:bookmarkEnd w:id="67"/>
    </w:p>
    <w:p>
      <w:pPr>
        <w:spacing w:line="360" w:lineRule="auto"/>
        <w:ind w:firstLine="440" w:firstLineChars="200"/>
        <w:rPr>
          <w:rFonts w:ascii="宋体" w:hAnsi="宋体"/>
          <w:color w:val="auto"/>
          <w:szCs w:val="21"/>
          <w:highlight w:val="none"/>
        </w:rPr>
      </w:pPr>
      <w:r>
        <w:rPr>
          <w:rFonts w:ascii="宋体" w:hAnsi="宋体"/>
          <w:color w:val="auto"/>
          <w:kern w:val="0"/>
          <w:szCs w:val="21"/>
          <w:highlight w:val="none"/>
        </w:rPr>
        <w:t>发包人</w:t>
      </w:r>
      <w:r>
        <w:rPr>
          <w:rFonts w:ascii="宋体" w:hAnsi="宋体"/>
          <w:color w:val="auto"/>
          <w:szCs w:val="21"/>
          <w:highlight w:val="none"/>
        </w:rPr>
        <w:t>代表：</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姓    名：</w:t>
      </w:r>
      <w:r>
        <w:rPr>
          <w:rFonts w:hint="eastAsia" w:ascii="宋体" w:hAnsi="宋体" w:cs="宋体"/>
          <w:color w:val="auto"/>
          <w:szCs w:val="21"/>
          <w:highlight w:val="none"/>
          <w:u w:val="single"/>
        </w:rPr>
        <w:t>  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身份证号：</w:t>
      </w:r>
      <w:r>
        <w:rPr>
          <w:rFonts w:hint="eastAsia" w:ascii="宋体" w:hAnsi="宋体" w:cs="宋体"/>
          <w:color w:val="auto"/>
          <w:szCs w:val="21"/>
          <w:highlight w:val="none"/>
          <w:u w:val="single"/>
        </w:rPr>
        <w:t>   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职    务：</w:t>
      </w:r>
      <w:r>
        <w:rPr>
          <w:rFonts w:hint="eastAsia" w:ascii="宋体" w:hAnsi="宋体" w:cs="宋体"/>
          <w:color w:val="auto"/>
          <w:szCs w:val="21"/>
          <w:highlight w:val="none"/>
          <w:u w:val="single"/>
        </w:rPr>
        <w:t>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u w:val="single"/>
        </w:rPr>
      </w:pPr>
      <w:r>
        <w:rPr>
          <w:rFonts w:ascii="宋体" w:hAnsi="宋体"/>
          <w:color w:val="auto"/>
          <w:szCs w:val="21"/>
          <w:highlight w:val="none"/>
        </w:rPr>
        <w:t>发包人对发包人代表的授权范围如下：</w:t>
      </w:r>
      <w:r>
        <w:rPr>
          <w:rFonts w:hint="eastAsia" w:ascii="宋体" w:hAnsi="宋体"/>
          <w:color w:val="auto"/>
          <w:szCs w:val="21"/>
          <w:highlight w:val="none"/>
          <w:u w:val="single"/>
        </w:rPr>
        <w:t>①督促监理工程师按照监理合同完成工作；②协调各有关单位工作；③工程进度与工程量的确认；④督促并控制工程进度、质量、投资等内容</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68" w:name="_Toc500157601"/>
      <w:r>
        <w:rPr>
          <w:rFonts w:ascii="宋体" w:hAnsi="宋体"/>
          <w:color w:val="auto"/>
          <w:kern w:val="0"/>
          <w:szCs w:val="21"/>
          <w:highlight w:val="none"/>
        </w:rPr>
        <w:t>2.4施工现场、施工条件和基础资料的提供</w:t>
      </w:r>
      <w:bookmarkEnd w:id="68"/>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2.4.1</w:t>
      </w:r>
      <w:r>
        <w:rPr>
          <w:rFonts w:ascii="宋体" w:hAnsi="宋体"/>
          <w:color w:val="auto"/>
          <w:szCs w:val="21"/>
          <w:highlight w:val="none"/>
        </w:rPr>
        <w:t>提供施工现场</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关于发包人移交施工现场的期限要求：</w:t>
      </w:r>
      <w:r>
        <w:rPr>
          <w:rFonts w:hint="eastAsia" w:ascii="宋体" w:hAnsi="宋体" w:cs="宋体"/>
          <w:color w:val="auto"/>
          <w:szCs w:val="21"/>
          <w:highlight w:val="none"/>
          <w:u w:val="single"/>
        </w:rPr>
        <w:t>以书面通知为准</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2.4.2提供施工条件</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关于发包人应负责提供施工</w:t>
      </w:r>
      <w:r>
        <w:rPr>
          <w:rFonts w:hint="eastAsia" w:ascii="宋体" w:hAnsi="宋体"/>
          <w:color w:val="auto"/>
          <w:szCs w:val="21"/>
          <w:highlight w:val="none"/>
        </w:rPr>
        <w:t>所需要的条件，</w:t>
      </w:r>
      <w:r>
        <w:rPr>
          <w:rFonts w:ascii="宋体" w:hAnsi="宋体"/>
          <w:color w:val="auto"/>
          <w:szCs w:val="21"/>
          <w:highlight w:val="none"/>
        </w:rPr>
        <w:t>包括：</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①在开工前</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天,发包人办理土地征用、拆迁工作、平整工作场地等工作,将具备施工条件的施工场地交付承包人；</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②开工前</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天内，发包人按批准后的施工方案中接驳地点，提供水、电接口给承包人，</w:t>
      </w:r>
      <w:r>
        <w:rPr>
          <w:rFonts w:hint="eastAsia" w:ascii="宋体" w:hAnsi="宋体" w:cs="宋体"/>
          <w:b/>
          <w:color w:val="auto"/>
          <w:kern w:val="0"/>
          <w:szCs w:val="21"/>
          <w:highlight w:val="none"/>
          <w:u w:val="single"/>
        </w:rPr>
        <w:t>由承包人办理接驳相关手续和承担相关费用。从施工进场之日起，由承包人自行承担水电等相关费用</w:t>
      </w:r>
      <w:r>
        <w:rPr>
          <w:rFonts w:hint="eastAsia" w:ascii="宋体" w:hAnsi="宋体" w:cs="宋体"/>
          <w:color w:val="auto"/>
          <w:kern w:val="0"/>
          <w:szCs w:val="21"/>
          <w:highlight w:val="none"/>
          <w:u w:val="single"/>
        </w:rPr>
        <w:t>；</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③开工前</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天内，发包人按满足施工运输的需要开通道路，施工期间承包人施工运输不得损坏公共道路，如因承包人原因损坏或污染公共道路，由承包人负责修复并承担相关费用；</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④合同签订后7天内，发包人提供有关资料给承包人；</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⑤合同签订后</w:t>
      </w:r>
      <w:r>
        <w:rPr>
          <w:rFonts w:ascii="宋体" w:hAnsi="宋体" w:cs="宋体"/>
          <w:color w:val="auto"/>
          <w:kern w:val="0"/>
          <w:szCs w:val="21"/>
          <w:highlight w:val="none"/>
          <w:u w:val="single"/>
        </w:rPr>
        <w:t>10</w:t>
      </w:r>
      <w:r>
        <w:rPr>
          <w:rFonts w:hint="eastAsia" w:ascii="宋体" w:hAnsi="宋体" w:cs="宋体"/>
          <w:color w:val="auto"/>
          <w:kern w:val="0"/>
          <w:szCs w:val="21"/>
          <w:highlight w:val="none"/>
          <w:u w:val="single"/>
        </w:rPr>
        <w:t>天内，发包人办理施工许可证及其他施工所需证件、批件和临时用地、停水、停电、中断道路交通等的申请批准手续（证明承包人自身资质的证件除外）；</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⑥合同签订后</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天内，发包人在现场交验水准点与坐标控制点。现场交验后，施工期间水准点与坐标控制点的真实准确性及维护由承包人承担相关责任与费用。</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⑦报建批准后</w:t>
      </w:r>
      <w:r>
        <w:rPr>
          <w:rFonts w:ascii="宋体" w:hAnsi="宋体" w:cs="宋体"/>
          <w:color w:val="auto"/>
          <w:kern w:val="0"/>
          <w:szCs w:val="21"/>
          <w:highlight w:val="none"/>
          <w:u w:val="single"/>
        </w:rPr>
        <w:t>7</w:t>
      </w:r>
      <w:r>
        <w:rPr>
          <w:rFonts w:hint="eastAsia" w:ascii="宋体" w:hAnsi="宋体" w:cs="宋体"/>
          <w:color w:val="auto"/>
          <w:kern w:val="0"/>
          <w:szCs w:val="21"/>
          <w:highlight w:val="none"/>
          <w:u w:val="single"/>
        </w:rPr>
        <w:t>天内，发包人组织有关单位办理图纸会审和设计交底；</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⑧如施工场地和邻近建筑物、构筑物（包括文物保护建筑）、古树名木等发生地性关系时，由发包人、承包人会同所属有关部门确定保护方案，按保护方案实施保护，有关实施费用由发包人承担，完成保护措施后出现的毁坏情况，由责任方负责；</w:t>
      </w:r>
    </w:p>
    <w:p>
      <w:pPr>
        <w:spacing w:line="400" w:lineRule="exact"/>
        <w:ind w:firstLine="44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⑨由发包人和承包人双方按实际协商确定发包人应做的其他工作。</w:t>
      </w:r>
    </w:p>
    <w:p>
      <w:pPr>
        <w:spacing w:line="400" w:lineRule="exact"/>
        <w:ind w:firstLine="440" w:firstLineChars="200"/>
        <w:rPr>
          <w:rFonts w:ascii="宋体" w:hAnsi="宋体"/>
          <w:color w:val="auto"/>
          <w:kern w:val="0"/>
          <w:szCs w:val="21"/>
          <w:highlight w:val="none"/>
        </w:rPr>
      </w:pPr>
      <w:bookmarkStart w:id="69" w:name="_Toc500157602"/>
      <w:r>
        <w:rPr>
          <w:rFonts w:ascii="宋体" w:hAnsi="宋体"/>
          <w:color w:val="auto"/>
          <w:kern w:val="0"/>
          <w:szCs w:val="21"/>
          <w:highlight w:val="none"/>
        </w:rPr>
        <w:t>2.5资金来源证明及支付担保</w:t>
      </w:r>
      <w:bookmarkEnd w:id="69"/>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发包人提供</w:t>
      </w:r>
      <w:r>
        <w:rPr>
          <w:rFonts w:ascii="宋体" w:hAnsi="宋体"/>
          <w:color w:val="auto"/>
          <w:szCs w:val="21"/>
          <w:highlight w:val="none"/>
        </w:rPr>
        <w:t>资金来源证明的期限要求：</w:t>
      </w:r>
      <w:r>
        <w:rPr>
          <w:rFonts w:hint="eastAsia" w:ascii="宋体" w:hAnsi="宋体" w:cs="宋体"/>
          <w:color w:val="auto"/>
          <w:kern w:val="0"/>
          <w:szCs w:val="21"/>
          <w:highlight w:val="none"/>
          <w:u w:val="single"/>
        </w:rPr>
        <w:t>由发包人和承包人双方协商确定</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是 </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u w:val="single"/>
        </w:rPr>
      </w:pPr>
      <w:r>
        <w:rPr>
          <w:rFonts w:ascii="宋体" w:hAnsi="宋体"/>
          <w:color w:val="auto"/>
          <w:szCs w:val="21"/>
          <w:highlight w:val="none"/>
        </w:rPr>
        <w:t>发包人提供支付担保的形式：</w:t>
      </w:r>
      <w:r>
        <w:rPr>
          <w:rFonts w:hint="eastAsia" w:ascii="宋体" w:hAnsi="宋体" w:cs="宋体"/>
          <w:color w:val="auto"/>
          <w:szCs w:val="21"/>
          <w:highlight w:val="none"/>
          <w:u w:val="single"/>
        </w:rPr>
        <w:t>①银行担保；②专业担保公司担保（外地担保公司须先办理进驻备案手续）；③现金担保（转帐或电汇至双方指定专设帐户）（其中①项担保的保证方式为连带责任保证，且须见索即付；②项担保的保证方式为连带责任保证，保证期间为保修期限届满之日后</w:t>
      </w:r>
      <w:r>
        <w:rPr>
          <w:rFonts w:hint="eastAsia" w:cs="宋体"/>
          <w:color w:val="auto"/>
          <w:szCs w:val="21"/>
          <w:highlight w:val="none"/>
          <w:u w:val="single"/>
          <w:lang w:val="en-US" w:eastAsia="zh-CN"/>
        </w:rPr>
        <w:t>6</w:t>
      </w:r>
      <w:r>
        <w:rPr>
          <w:rFonts w:hint="eastAsia" w:ascii="宋体" w:hAnsi="宋体" w:cs="宋体"/>
          <w:color w:val="auto"/>
          <w:szCs w:val="21"/>
          <w:highlight w:val="none"/>
          <w:u w:val="single"/>
        </w:rPr>
        <w:t>个月</w:t>
      </w:r>
      <w:r>
        <w:rPr>
          <w:rFonts w:hint="eastAsia" w:cs="宋体"/>
          <w:color w:val="auto"/>
          <w:szCs w:val="21"/>
          <w:highlight w:val="none"/>
          <w:u w:val="single"/>
          <w:lang w:eastAsia="zh-CN"/>
        </w:rPr>
        <w:t>。支付担保在工程竣工验收后10天内无息退回给中标人或解除工程担保(或银行保函、或工程保险)</w:t>
      </w:r>
      <w:r>
        <w:rPr>
          <w:rFonts w:hint="eastAsia" w:ascii="宋体" w:hAnsi="宋体" w:cs="宋体"/>
          <w:color w:val="auto"/>
          <w:szCs w:val="21"/>
          <w:highlight w:val="none"/>
          <w:u w:val="single"/>
        </w:rPr>
        <w:t>）</w:t>
      </w:r>
      <w:r>
        <w:rPr>
          <w:rFonts w:ascii="宋体" w:hAnsi="宋体"/>
          <w:color w:val="auto"/>
          <w:szCs w:val="21"/>
          <w:highlight w:val="none"/>
        </w:rPr>
        <w:t>。</w:t>
      </w:r>
    </w:p>
    <w:p>
      <w:pPr>
        <w:bidi w:val="0"/>
        <w:spacing w:line="360" w:lineRule="auto"/>
        <w:ind w:firstLine="440" w:firstLineChars="200"/>
      </w:pPr>
      <w:bookmarkStart w:id="70" w:name="_Toc500157603"/>
      <w:r>
        <w:t>3</w:t>
      </w:r>
      <w:bookmarkStart w:id="71" w:name="_Toc292559363"/>
      <w:bookmarkStart w:id="72" w:name="_Toc296891198"/>
      <w:bookmarkStart w:id="73" w:name="_Toc296503158"/>
      <w:bookmarkStart w:id="74" w:name="_Toc296346659"/>
      <w:bookmarkStart w:id="75" w:name="_Toc297120458"/>
      <w:bookmarkStart w:id="76" w:name="_Toc297048344"/>
      <w:bookmarkStart w:id="77" w:name="_Toc296347157"/>
      <w:bookmarkStart w:id="78" w:name="_Toc296890986"/>
      <w:bookmarkStart w:id="79" w:name="_Toc296944497"/>
      <w:bookmarkStart w:id="80" w:name="_Toc292559868"/>
      <w:r>
        <w:t>.承包人</w:t>
      </w:r>
      <w:bookmarkEnd w:id="70"/>
    </w:p>
    <w:bookmarkEnd w:id="71"/>
    <w:bookmarkEnd w:id="72"/>
    <w:bookmarkEnd w:id="73"/>
    <w:bookmarkEnd w:id="74"/>
    <w:bookmarkEnd w:id="75"/>
    <w:bookmarkEnd w:id="76"/>
    <w:bookmarkEnd w:id="77"/>
    <w:bookmarkEnd w:id="78"/>
    <w:bookmarkEnd w:id="79"/>
    <w:bookmarkEnd w:id="80"/>
    <w:p>
      <w:pPr>
        <w:spacing w:line="360" w:lineRule="auto"/>
        <w:ind w:firstLine="440" w:firstLineChars="200"/>
        <w:rPr>
          <w:rFonts w:ascii="宋体" w:hAnsi="宋体"/>
          <w:color w:val="auto"/>
          <w:szCs w:val="21"/>
          <w:highlight w:val="none"/>
        </w:rPr>
      </w:pPr>
      <w:r>
        <w:rPr>
          <w:rFonts w:ascii="宋体" w:hAnsi="宋体"/>
          <w:color w:val="auto"/>
          <w:szCs w:val="21"/>
          <w:highlight w:val="none"/>
        </w:rPr>
        <w:t>3.1承包人的一般义务</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9</w:t>
      </w:r>
      <w:r>
        <w:rPr>
          <w:rFonts w:ascii="宋体" w:hAnsi="宋体"/>
          <w:color w:val="auto"/>
          <w:szCs w:val="21"/>
          <w:highlight w:val="none"/>
        </w:rPr>
        <w:t>）承包人提交的竣工资料的内容：</w:t>
      </w:r>
      <w:r>
        <w:rPr>
          <w:rFonts w:hint="eastAsia" w:ascii="宋体" w:hAnsi="宋体"/>
          <w:color w:val="auto"/>
          <w:szCs w:val="21"/>
          <w:highlight w:val="none"/>
          <w:u w:val="single"/>
        </w:rPr>
        <w:t>①完整准确的竣工资料；②竣工内业资料</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承包人需要提交的竣工资料套数：</w:t>
      </w:r>
      <w:r>
        <w:rPr>
          <w:rFonts w:hint="eastAsia" w:ascii="宋体" w:hAnsi="宋体"/>
          <w:color w:val="auto"/>
          <w:szCs w:val="21"/>
          <w:highlight w:val="none"/>
          <w:u w:val="single"/>
        </w:rPr>
        <w:t>①竣工图八套（要求计算机出图），其中原件五套，电子文件一套（包括CAD及PDF版本）；②竣工内业资料六套</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承包人提交的竣工资料移交时间：</w:t>
      </w:r>
      <w:r>
        <w:rPr>
          <w:rFonts w:hint="eastAsia" w:ascii="宋体" w:hAnsi="宋体"/>
          <w:color w:val="auto"/>
          <w:szCs w:val="21"/>
          <w:highlight w:val="none"/>
          <w:u w:val="single"/>
        </w:rPr>
        <w:t>竣工验收后28天内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承包人提交的竣工资料形式要求：</w:t>
      </w:r>
      <w:r>
        <w:rPr>
          <w:rFonts w:hint="eastAsia" w:ascii="宋体" w:hAnsi="宋体"/>
          <w:color w:val="auto"/>
          <w:szCs w:val="21"/>
          <w:highlight w:val="none"/>
          <w:u w:val="single"/>
        </w:rPr>
        <w:t>书面形式和电子文件形式</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10</w:t>
      </w:r>
      <w:r>
        <w:rPr>
          <w:rFonts w:ascii="宋体" w:hAnsi="宋体"/>
          <w:color w:val="auto"/>
          <w:kern w:val="0"/>
          <w:szCs w:val="21"/>
          <w:highlight w:val="none"/>
        </w:rPr>
        <w:t>）承包人应履行的其他义务：</w:t>
      </w:r>
      <w:r>
        <w:rPr>
          <w:rFonts w:hint="eastAsia" w:ascii="宋体" w:hAnsi="宋体" w:cs="MingLiU_HKSCS"/>
          <w:color w:val="auto"/>
          <w:szCs w:val="21"/>
          <w:highlight w:val="none"/>
          <w:u w:val="single"/>
        </w:rPr>
        <w:t>在施工过程中，承包人必须全面协调好与周边环境关系，如因承包人自身原因未处理好与周边环境关系而导致工程停工的，发包人将不承担由此引起的工期延误及其他工程费用损失</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3.2项目经理</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3.2.1</w:t>
      </w:r>
      <w:r>
        <w:rPr>
          <w:rFonts w:ascii="宋体" w:hAnsi="宋体"/>
          <w:color w:val="auto"/>
          <w:szCs w:val="21"/>
          <w:highlight w:val="none"/>
        </w:rPr>
        <w:t>项目经理：</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姓    名：</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身份证号：</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建造师执业资格等级：</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建造师注册证书号：</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建造师执业印章号：</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安全生产考核合格证书号：</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承包人对项目经理的授权范围如下：</w:t>
      </w:r>
      <w:r>
        <w:rPr>
          <w:rFonts w:hint="eastAsia" w:ascii="宋体" w:hAnsi="宋体" w:cs="宋体"/>
          <w:color w:val="auto"/>
          <w:szCs w:val="21"/>
          <w:highlight w:val="none"/>
          <w:u w:val="single"/>
        </w:rPr>
        <w:t></w:t>
      </w:r>
      <w:r>
        <w:rPr>
          <w:rFonts w:ascii="宋体" w:hAnsi="宋体"/>
          <w:color w:val="auto"/>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hint="eastAsia" w:ascii="宋体" w:hAnsi="宋体"/>
          <w:color w:val="auto"/>
          <w:szCs w:val="21"/>
          <w:highlight w:val="none"/>
          <w:u w:val="single"/>
        </w:rPr>
        <w:t>项目负责人（项目经理）每月到位率必须不少于20天，每天不少于8小时</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处以2000元罚款，责令限期提交劳动合同并补缴社会保险</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hint="eastAsia" w:ascii="宋体" w:hAnsi="宋体" w:cs="MingLiU_HKSCS"/>
          <w:color w:val="auto"/>
          <w:szCs w:val="21"/>
          <w:highlight w:val="none"/>
          <w:u w:val="single"/>
        </w:rPr>
        <w:t>项目负责人（项目经理如不能达到承诺的到位率</w:t>
      </w:r>
      <w:r>
        <w:rPr>
          <w:rFonts w:hint="eastAsia" w:ascii="宋体" w:hAnsi="宋体"/>
          <w:color w:val="auto"/>
          <w:szCs w:val="21"/>
          <w:highlight w:val="none"/>
          <w:u w:val="single"/>
        </w:rPr>
        <w:t>，在当月的工程进度款中按1000元/天扣罚；如累计到位率不</w:t>
      </w:r>
      <w:r>
        <w:rPr>
          <w:rFonts w:hint="eastAsia" w:ascii="宋体" w:hAnsi="宋体" w:cs="MingLiU_HKSCS"/>
          <w:color w:val="auto"/>
          <w:szCs w:val="21"/>
          <w:highlight w:val="none"/>
          <w:u w:val="single"/>
        </w:rPr>
        <w:t>到总到位率的90％（到位率由监理工程师与发包人派驻工程师共同考核），则承包人最高承担合同价3％的违约金</w:t>
      </w:r>
      <w:r>
        <w:rPr>
          <w:rFonts w:hint="eastAsia" w:ascii="宋体" w:hAnsi="宋体"/>
          <w:color w:val="auto"/>
          <w:szCs w:val="21"/>
          <w:highlight w:val="none"/>
          <w:u w:val="single"/>
        </w:rPr>
        <w:t>。</w:t>
      </w:r>
    </w:p>
    <w:p>
      <w:pPr>
        <w:spacing w:line="400" w:lineRule="exact"/>
        <w:ind w:firstLine="440" w:firstLineChars="200"/>
        <w:rPr>
          <w:rFonts w:ascii="宋体" w:hAnsi="宋体"/>
          <w:color w:val="auto"/>
          <w:szCs w:val="21"/>
          <w:highlight w:val="none"/>
          <w:u w:val="single"/>
        </w:rPr>
      </w:pPr>
      <w:r>
        <w:rPr>
          <w:rFonts w:ascii="宋体" w:hAnsi="宋体"/>
          <w:color w:val="auto"/>
          <w:szCs w:val="21"/>
          <w:highlight w:val="none"/>
        </w:rPr>
        <w:t>3.2.3承包人擅自更换项目经理的违约责任：</w:t>
      </w:r>
      <w:r>
        <w:rPr>
          <w:rFonts w:hint="eastAsia" w:ascii="宋体" w:hAnsi="宋体"/>
          <w:color w:val="auto"/>
          <w:szCs w:val="21"/>
          <w:highlight w:val="none"/>
          <w:u w:val="single"/>
        </w:rPr>
        <w:t>如擅自变更项目经理，则承包人承担合同价3％的违约金；项目管理班子其他成员每更换一人次，处违约金5000元/人次</w:t>
      </w:r>
      <w:r>
        <w:rPr>
          <w:rFonts w:ascii="宋体" w:hAnsi="宋体"/>
          <w:color w:val="auto"/>
          <w:szCs w:val="21"/>
          <w:highlight w:val="none"/>
          <w:u w:val="single"/>
        </w:rPr>
        <w:t>。</w:t>
      </w:r>
      <w:r>
        <w:rPr>
          <w:rFonts w:hint="eastAsia" w:ascii="宋体" w:hAnsi="宋体"/>
          <w:color w:val="auto"/>
          <w:szCs w:val="21"/>
          <w:highlight w:val="none"/>
          <w:u w:val="single"/>
        </w:rPr>
        <w:t>如人员更换属下列原因的，可免予处违约金：（一）因重病或者重伤（持有县、区以上医院证明）两个月以上不能履行职责的；（二）因违法被责令停止执业的；（三）因犯罪被羁押或者判刑的；（四）死亡；（五）不在其单位工作。</w:t>
      </w:r>
    </w:p>
    <w:p>
      <w:pPr>
        <w:spacing w:line="400" w:lineRule="exact"/>
        <w:ind w:firstLine="440" w:firstLineChars="200"/>
        <w:rPr>
          <w:rFonts w:ascii="宋体" w:hAnsi="宋体"/>
          <w:color w:val="auto"/>
          <w:kern w:val="0"/>
          <w:szCs w:val="21"/>
          <w:highlight w:val="none"/>
        </w:rPr>
      </w:pPr>
      <w:bookmarkStart w:id="81" w:name="_Toc500157604"/>
      <w:r>
        <w:rPr>
          <w:rFonts w:ascii="宋体" w:hAnsi="宋体"/>
          <w:color w:val="auto"/>
          <w:kern w:val="0"/>
          <w:szCs w:val="21"/>
          <w:highlight w:val="none"/>
        </w:rPr>
        <w:t>3.2.4承包人无正当理由拒绝更换项目经理的违约责任：</w:t>
      </w:r>
      <w:r>
        <w:rPr>
          <w:rFonts w:hint="eastAsia" w:ascii="宋体" w:hAnsi="宋体"/>
          <w:color w:val="auto"/>
          <w:kern w:val="0"/>
          <w:szCs w:val="21"/>
          <w:highlight w:val="none"/>
          <w:u w:val="single"/>
        </w:rPr>
        <w:t>视同擅自更换项目经理，违约责任同3.2.3条款，同时由此对发包人造成的工期延误及经济损失均由承包人承担</w:t>
      </w:r>
      <w:r>
        <w:rPr>
          <w:rFonts w:ascii="宋体" w:hAnsi="宋体"/>
          <w:color w:val="auto"/>
          <w:kern w:val="0"/>
          <w:szCs w:val="21"/>
          <w:highlight w:val="none"/>
        </w:rPr>
        <w:t>。</w:t>
      </w:r>
      <w:bookmarkEnd w:id="81"/>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3.3承包人人员</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3.3.1</w:t>
      </w:r>
      <w:r>
        <w:rPr>
          <w:rFonts w:ascii="宋体" w:hAnsi="宋体"/>
          <w:color w:val="auto"/>
          <w:szCs w:val="21"/>
          <w:highlight w:val="none"/>
        </w:rPr>
        <w:t>承包人提交项目管理机构及施工现场管理人员安排报告的期限：</w:t>
      </w:r>
      <w:r>
        <w:rPr>
          <w:rFonts w:hint="eastAsia" w:ascii="宋体" w:hAnsi="宋体" w:cs="MingLiU_HKSCS"/>
          <w:color w:val="auto"/>
          <w:szCs w:val="21"/>
          <w:highlight w:val="none"/>
          <w:u w:val="single"/>
        </w:rPr>
        <w:t>接到开工报告5天内</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3.3.3承包人无正当理由拒绝撤换主要施工管理人员的违约责任：</w:t>
      </w:r>
      <w:r>
        <w:rPr>
          <w:rFonts w:hint="eastAsia" w:ascii="宋体" w:hAnsi="宋体"/>
          <w:color w:val="auto"/>
          <w:szCs w:val="21"/>
          <w:highlight w:val="none"/>
          <w:u w:val="single"/>
        </w:rPr>
        <w:t>由此对发包人造成的工期延误及经济损失均由承包人承担</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u w:val="single"/>
        </w:rPr>
      </w:pPr>
      <w:r>
        <w:rPr>
          <w:rFonts w:ascii="宋体" w:hAnsi="宋体"/>
          <w:color w:val="auto"/>
          <w:szCs w:val="21"/>
          <w:highlight w:val="none"/>
        </w:rPr>
        <w:t>3.3.4承包人主要施工管理人员离开施工现场的批准要求：</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3.3.5承包人擅自更换主要施工管理人员的违约责任：</w:t>
      </w:r>
      <w:r>
        <w:rPr>
          <w:rFonts w:hint="eastAsia" w:ascii="宋体" w:hAnsi="宋体"/>
          <w:color w:val="auto"/>
          <w:szCs w:val="21"/>
          <w:highlight w:val="none"/>
          <w:u w:val="single"/>
        </w:rPr>
        <w:t>如擅自变更</w:t>
      </w:r>
      <w:r>
        <w:rPr>
          <w:rFonts w:ascii="宋体" w:hAnsi="宋体"/>
          <w:color w:val="auto"/>
          <w:szCs w:val="21"/>
          <w:highlight w:val="none"/>
          <w:u w:val="single"/>
        </w:rPr>
        <w:t>主要施工管理人员</w:t>
      </w:r>
      <w:r>
        <w:rPr>
          <w:rFonts w:hint="eastAsia" w:ascii="宋体" w:hAnsi="宋体"/>
          <w:color w:val="auto"/>
          <w:szCs w:val="21"/>
          <w:highlight w:val="none"/>
          <w:u w:val="single"/>
        </w:rPr>
        <w:t>，则承包人</w:t>
      </w:r>
      <w:r>
        <w:rPr>
          <w:rFonts w:hint="eastAsia" w:ascii="宋体" w:hAnsi="宋体" w:cs="MingLiU_HKSCS"/>
          <w:color w:val="auto"/>
          <w:szCs w:val="21"/>
          <w:highlight w:val="none"/>
          <w:u w:val="single"/>
        </w:rPr>
        <w:t>承担合同价3％的违约金</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hint="eastAsia" w:ascii="宋体" w:hAnsi="宋体" w:cs="MingLiU_HKSCS"/>
          <w:color w:val="auto"/>
          <w:szCs w:val="21"/>
          <w:highlight w:val="none"/>
          <w:u w:val="single"/>
        </w:rPr>
        <w:t>项目主要施工管理人员（包括项目技术负责人、安全员、施工员、材料员、机械管理员和质量员</w:t>
      </w:r>
      <w:r>
        <w:rPr>
          <w:rFonts w:ascii="宋体" w:hAnsi="宋体" w:cs="MingLiU_HKSCS"/>
          <w:color w:val="auto"/>
          <w:szCs w:val="21"/>
          <w:highlight w:val="none"/>
          <w:u w:val="single"/>
        </w:rPr>
        <w:t>）</w:t>
      </w:r>
      <w:r>
        <w:rPr>
          <w:rFonts w:hint="eastAsia" w:ascii="宋体" w:hAnsi="宋体" w:cs="MingLiU_HKSCS"/>
          <w:color w:val="auto"/>
          <w:szCs w:val="21"/>
          <w:highlight w:val="none"/>
          <w:u w:val="single"/>
        </w:rPr>
        <w:t>如未经发包人派驻工程师书面同意而擅自离开的，项目技术负责人按500元/天在当月的工程进度款中扣罚，其他每人按300元/天在当月的工程进度款中扣罚</w:t>
      </w:r>
      <w:r>
        <w:rPr>
          <w:rFonts w:ascii="宋体" w:hAnsi="宋体"/>
          <w:color w:val="auto"/>
          <w:szCs w:val="21"/>
          <w:highlight w:val="none"/>
          <w:u w:val="single"/>
        </w:rPr>
        <w:t>。</w:t>
      </w:r>
      <w:r>
        <w:rPr>
          <w:rFonts w:hint="eastAsia" w:ascii="宋体" w:hAnsi="宋体"/>
          <w:color w:val="auto"/>
          <w:szCs w:val="21"/>
          <w:highlight w:val="none"/>
          <w:u w:val="single"/>
        </w:rPr>
        <w:t>如人员更换属下列原因的，可免予处违约金：（一）因重病或者重伤（持有县、区以上医院证明）两个月以上不能履行职责的；（二）因违法被责令停止执业的；（三）因犯罪被羁押或者判刑的；（四）死亡；（五）不在其单位工作。</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3</w:t>
      </w:r>
      <w:bookmarkStart w:id="82" w:name="_Toc296944498"/>
      <w:bookmarkStart w:id="83" w:name="_Toc303539102"/>
      <w:bookmarkStart w:id="84" w:name="_Toc296891199"/>
      <w:bookmarkStart w:id="85" w:name="_Toc296346660"/>
      <w:bookmarkStart w:id="86" w:name="_Toc292559869"/>
      <w:bookmarkStart w:id="87" w:name="_Toc297216151"/>
      <w:bookmarkStart w:id="88" w:name="_Toc300934945"/>
      <w:bookmarkStart w:id="89" w:name="_Toc296890987"/>
      <w:bookmarkStart w:id="90" w:name="_Toc312677988"/>
      <w:bookmarkStart w:id="91" w:name="_Toc304295523"/>
      <w:bookmarkStart w:id="92" w:name="_Toc296347158"/>
      <w:bookmarkStart w:id="93" w:name="_Toc296503159"/>
      <w:bookmarkStart w:id="94" w:name="_Toc292559364"/>
      <w:bookmarkStart w:id="95" w:name="_Toc297123492"/>
      <w:bookmarkStart w:id="96" w:name="_Toc297120459"/>
      <w:bookmarkStart w:id="97" w:name="_Toc297048345"/>
      <w:r>
        <w:rPr>
          <w:rFonts w:ascii="宋体" w:hAnsi="宋体"/>
          <w:color w:val="auto"/>
          <w:kern w:val="0"/>
          <w:szCs w:val="21"/>
          <w:highlight w:val="none"/>
        </w:rPr>
        <w:t>.5分包</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spacing w:line="400" w:lineRule="exact"/>
        <w:ind w:firstLine="440" w:firstLineChars="200"/>
        <w:rPr>
          <w:rFonts w:ascii="宋体" w:hAnsi="宋体" w:cs="MingLiU_HKSCS"/>
          <w:color w:val="auto"/>
          <w:szCs w:val="21"/>
          <w:highlight w:val="none"/>
          <w:u w:val="single"/>
        </w:rPr>
      </w:pPr>
      <w:r>
        <w:rPr>
          <w:rFonts w:ascii="宋体" w:hAnsi="宋体"/>
          <w:color w:val="auto"/>
          <w:kern w:val="0"/>
          <w:szCs w:val="21"/>
          <w:highlight w:val="none"/>
        </w:rPr>
        <w:t>3</w:t>
      </w:r>
      <w:bookmarkStart w:id="98" w:name="_Toc292559365"/>
      <w:bookmarkStart w:id="99" w:name="_Toc297120460"/>
      <w:bookmarkStart w:id="100" w:name="_Toc304295524"/>
      <w:bookmarkStart w:id="101" w:name="_Toc296891200"/>
      <w:bookmarkStart w:id="102" w:name="_Toc297048346"/>
      <w:bookmarkStart w:id="103" w:name="_Toc297216152"/>
      <w:bookmarkStart w:id="104" w:name="_Toc296347159"/>
      <w:bookmarkStart w:id="105" w:name="_Toc303539103"/>
      <w:bookmarkStart w:id="106" w:name="_Toc296890988"/>
      <w:bookmarkStart w:id="107" w:name="_Toc296503160"/>
      <w:bookmarkStart w:id="108" w:name="_Toc300934946"/>
      <w:bookmarkStart w:id="109" w:name="_Toc296944499"/>
      <w:bookmarkStart w:id="110" w:name="_Toc297123493"/>
      <w:bookmarkStart w:id="111" w:name="_Toc292559870"/>
      <w:bookmarkStart w:id="112" w:name="_Toc296346661"/>
      <w:bookmarkStart w:id="113" w:name="_Toc312677989"/>
      <w:bookmarkStart w:id="114" w:name="_Toc318581158"/>
      <w:r>
        <w:rPr>
          <w:rFonts w:ascii="宋体" w:hAnsi="宋体"/>
          <w:color w:val="auto"/>
          <w:kern w:val="0"/>
          <w:szCs w:val="21"/>
          <w:highlight w:val="none"/>
        </w:rPr>
        <w:t>.5.1</w:t>
      </w:r>
      <w:r>
        <w:rPr>
          <w:rFonts w:ascii="宋体" w:hAnsi="宋体"/>
          <w:color w:val="auto"/>
          <w:szCs w:val="21"/>
          <w:highlight w:val="none"/>
        </w:rPr>
        <w:t>分包</w:t>
      </w:r>
      <w:r>
        <w:rPr>
          <w:rFonts w:hint="eastAsia" w:ascii="宋体" w:hAnsi="宋体" w:cs="MingLiU_HKSCS"/>
          <w:color w:val="auto"/>
          <w:szCs w:val="21"/>
          <w:highlight w:val="none"/>
        </w:rPr>
        <w:t>的一般约定</w:t>
      </w:r>
    </w:p>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禁止分包的工程包括：</w:t>
      </w:r>
      <w:r>
        <w:rPr>
          <w:rFonts w:hint="eastAsia" w:ascii="宋体" w:hAnsi="宋体" w:cs="MingLiU_HKSCS"/>
          <w:color w:val="auto"/>
          <w:szCs w:val="21"/>
          <w:highlight w:val="none"/>
          <w:u w:val="single"/>
        </w:rPr>
        <w:t xml:space="preserve">  /</w:t>
      </w:r>
      <w:r>
        <w:rPr>
          <w:rFonts w:hint="eastAsia" w:ascii="宋体" w:hAnsi="宋体" w:cs="MingLiU_HKSCS"/>
          <w:color w:val="auto"/>
          <w:szCs w:val="21"/>
          <w:highlight w:val="none"/>
        </w:rPr>
        <w:t>。</w:t>
      </w:r>
    </w:p>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主体结构、关键性工作的范围：</w:t>
      </w:r>
      <w:r>
        <w:rPr>
          <w:rFonts w:hint="eastAsia" w:ascii="宋体" w:hAnsi="宋体" w:cs="MingLiU_HKSCS"/>
          <w:color w:val="auto"/>
          <w:szCs w:val="21"/>
          <w:highlight w:val="none"/>
          <w:u w:val="single"/>
        </w:rPr>
        <w:t xml:space="preserve">  /</w:t>
      </w:r>
      <w:r>
        <w:rPr>
          <w:rFonts w:hint="eastAsia" w:ascii="宋体" w:hAnsi="宋体" w:cs="MingLiU_HKSCS"/>
          <w:color w:val="auto"/>
          <w:szCs w:val="21"/>
          <w:highlight w:val="none"/>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5" w:name="_Toc303539104"/>
      <w:bookmarkStart w:id="116" w:name="_Toc297123494"/>
      <w:bookmarkStart w:id="117" w:name="_Toc296503161"/>
      <w:bookmarkStart w:id="118" w:name="_Toc296346662"/>
      <w:bookmarkStart w:id="119" w:name="_Toc297048347"/>
      <w:bookmarkStart w:id="120" w:name="_Toc296347160"/>
      <w:bookmarkStart w:id="121" w:name="_Toc296891201"/>
      <w:bookmarkStart w:id="122" w:name="_Toc297120461"/>
      <w:bookmarkStart w:id="123" w:name="_Toc296890989"/>
      <w:bookmarkStart w:id="124" w:name="_Toc304295525"/>
      <w:bookmarkStart w:id="125" w:name="_Toc296944500"/>
      <w:bookmarkStart w:id="126" w:name="_Toc297216153"/>
      <w:bookmarkStart w:id="127" w:name="_Toc300934947"/>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3</w:t>
      </w:r>
      <w:bookmarkStart w:id="128" w:name="_Toc318581159"/>
      <w:bookmarkStart w:id="129" w:name="_Toc312677990"/>
      <w:r>
        <w:rPr>
          <w:rFonts w:hint="eastAsia" w:ascii="宋体" w:hAnsi="宋体" w:cs="MingLiU_HKSCS"/>
          <w:color w:val="auto"/>
          <w:szCs w:val="21"/>
          <w:highlight w:val="none"/>
        </w:rPr>
        <w:t>.5.2分包的确定</w:t>
      </w:r>
    </w:p>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允许分包的专业工程包括：</w:t>
      </w:r>
      <w:r>
        <w:rPr>
          <w:rFonts w:hint="eastAsia" w:ascii="宋体" w:hAnsi="宋体" w:cs="MingLiU_HKSCS"/>
          <w:color w:val="auto"/>
          <w:szCs w:val="21"/>
          <w:highlight w:val="none"/>
          <w:u w:val="single"/>
        </w:rPr>
        <w:t xml:space="preserve">  /</w:t>
      </w:r>
      <w:r>
        <w:rPr>
          <w:rFonts w:hint="eastAsia" w:ascii="宋体" w:hAnsi="宋体" w:cs="MingLiU_HKSCS"/>
          <w:color w:val="auto"/>
          <w:szCs w:val="21"/>
          <w:highlight w:val="none"/>
        </w:rPr>
        <w:t>。</w:t>
      </w:r>
    </w:p>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其他关于分包的约定：</w:t>
      </w:r>
      <w:r>
        <w:rPr>
          <w:rFonts w:hint="eastAsia" w:ascii="宋体" w:hAnsi="宋体" w:cs="MingLiU_HKSCS"/>
          <w:color w:val="auto"/>
          <w:szCs w:val="21"/>
          <w:highlight w:val="none"/>
          <w:u w:val="single"/>
        </w:rPr>
        <w:t xml:space="preserve">  /</w:t>
      </w:r>
      <w:r>
        <w:rPr>
          <w:rFonts w:hint="eastAsia" w:ascii="宋体" w:hAnsi="宋体" w:cs="MingLiU_HKSCS"/>
          <w:color w:val="auto"/>
          <w:szCs w:val="21"/>
          <w:highlight w:val="none"/>
        </w:rPr>
        <w:t>。</w:t>
      </w:r>
    </w:p>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3.5.4分包合同价款</w:t>
      </w:r>
    </w:p>
    <w:p>
      <w:pPr>
        <w:spacing w:line="400" w:lineRule="exact"/>
        <w:ind w:firstLine="440" w:firstLineChars="200"/>
        <w:rPr>
          <w:rFonts w:ascii="宋体" w:hAnsi="宋体" w:cs="MingLiU_HKSCS"/>
          <w:color w:val="auto"/>
          <w:szCs w:val="21"/>
          <w:highlight w:val="none"/>
          <w:u w:val="single"/>
        </w:rPr>
      </w:pPr>
      <w:r>
        <w:rPr>
          <w:rFonts w:hint="eastAsia" w:ascii="宋体" w:hAnsi="宋体" w:cs="MingLiU_HKSCS"/>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MingLiU_HKSCS"/>
          <w:color w:val="auto"/>
          <w:szCs w:val="21"/>
          <w:highlight w:val="none"/>
        </w:rPr>
        <w:t>。</w:t>
      </w:r>
    </w:p>
    <w:bookmarkEnd w:id="128"/>
    <w:bookmarkEnd w:id="129"/>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3.6工程照管与成品、半成品保护</w:t>
      </w:r>
    </w:p>
    <w:p>
      <w:pPr>
        <w:spacing w:line="400" w:lineRule="exact"/>
        <w:ind w:firstLine="440" w:firstLineChars="200"/>
        <w:rPr>
          <w:rFonts w:ascii="宋体" w:hAnsi="宋体" w:cs="MingLiU_HKSCS"/>
          <w:color w:val="auto"/>
          <w:szCs w:val="21"/>
          <w:highlight w:val="none"/>
          <w:u w:val="single"/>
        </w:rPr>
      </w:pPr>
      <w:r>
        <w:rPr>
          <w:rFonts w:hint="eastAsia" w:ascii="宋体" w:hAnsi="宋体" w:cs="MingLiU_HKSCS"/>
          <w:color w:val="auto"/>
          <w:szCs w:val="21"/>
          <w:highlight w:val="none"/>
        </w:rPr>
        <w:t>承包人负责照管工程及工程相关的材料、工程设备的起始时间：</w:t>
      </w:r>
      <w:r>
        <w:rPr>
          <w:rFonts w:hint="eastAsia" w:ascii="宋体" w:hAnsi="宋体" w:cs="MingLiU_HKSCS"/>
          <w:color w:val="auto"/>
          <w:szCs w:val="21"/>
          <w:highlight w:val="none"/>
          <w:u w:val="single"/>
        </w:rPr>
        <w:t>执行住房城乡建设部、国家工商行政管理总局制定的《建设工程施工合同（示范文本）》（GF-2017-0201）通用条款要求。</w:t>
      </w:r>
    </w:p>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3.7履约担保</w:t>
      </w:r>
    </w:p>
    <w:p>
      <w:pPr>
        <w:spacing w:line="400" w:lineRule="exact"/>
        <w:ind w:firstLine="440" w:firstLineChars="200"/>
        <w:rPr>
          <w:rFonts w:ascii="宋体" w:hAnsi="宋体" w:cs="MingLiU_HKSCS"/>
          <w:color w:val="auto"/>
          <w:szCs w:val="21"/>
          <w:highlight w:val="none"/>
          <w:u w:val="single"/>
        </w:rPr>
      </w:pPr>
      <w:r>
        <w:rPr>
          <w:rFonts w:hint="eastAsia" w:ascii="宋体" w:hAnsi="宋体" w:cs="MingLiU_HKSCS"/>
          <w:color w:val="auto"/>
          <w:szCs w:val="21"/>
          <w:highlight w:val="none"/>
        </w:rPr>
        <w:t>承包人是否提供履约担保：</w:t>
      </w:r>
      <w:r>
        <w:rPr>
          <w:rFonts w:hint="eastAsia" w:ascii="宋体" w:hAnsi="宋体" w:cs="MingLiU_HKSCS"/>
          <w:color w:val="auto"/>
          <w:szCs w:val="21"/>
          <w:highlight w:val="none"/>
          <w:u w:val="single"/>
        </w:rPr>
        <w:t xml:space="preserve"> 是  。</w:t>
      </w:r>
    </w:p>
    <w:p>
      <w:pPr>
        <w:spacing w:line="400" w:lineRule="exact"/>
        <w:ind w:firstLine="440" w:firstLineChars="200"/>
        <w:rPr>
          <w:rFonts w:ascii="宋体" w:hAnsi="宋体" w:cs="MingLiU_HKSCS"/>
          <w:color w:val="auto"/>
          <w:szCs w:val="21"/>
          <w:highlight w:val="none"/>
        </w:rPr>
      </w:pPr>
      <w:r>
        <w:rPr>
          <w:rFonts w:hint="eastAsia" w:ascii="宋体" w:hAnsi="宋体" w:cs="MingLiU_HKSCS"/>
          <w:color w:val="auto"/>
          <w:szCs w:val="21"/>
          <w:highlight w:val="none"/>
        </w:rPr>
        <w:t>承包人提供履约担保的形式、金额及期限的：</w:t>
      </w:r>
    </w:p>
    <w:p>
      <w:pPr>
        <w:spacing w:line="400" w:lineRule="exact"/>
        <w:ind w:firstLine="440" w:firstLineChars="200"/>
        <w:rPr>
          <w:rFonts w:ascii="宋体" w:hAnsi="宋体" w:cs="MingLiU_HKSCS"/>
          <w:color w:val="auto"/>
          <w:szCs w:val="21"/>
          <w:highlight w:val="none"/>
          <w:u w:val="single"/>
        </w:rPr>
      </w:pPr>
      <w:r>
        <w:rPr>
          <w:rFonts w:hint="eastAsia" w:ascii="宋体" w:hAnsi="宋体" w:cs="MingLiU_HKSCS"/>
          <w:color w:val="auto"/>
          <w:szCs w:val="21"/>
          <w:highlight w:val="none"/>
          <w:u w:val="single"/>
        </w:rPr>
        <w:t>（1）在合同协议书签署后五日内，承包人须向发包人提交金额为工程合同价的5％的履约担保，在工程竣工验收合格后10天内无息退回承包人；</w:t>
      </w:r>
    </w:p>
    <w:p>
      <w:pPr>
        <w:spacing w:line="400" w:lineRule="exact"/>
        <w:ind w:firstLine="440" w:firstLineChars="200"/>
        <w:rPr>
          <w:rFonts w:ascii="宋体" w:hAnsi="宋体" w:cs="MingLiU_HKSCS"/>
          <w:color w:val="auto"/>
          <w:szCs w:val="21"/>
          <w:highlight w:val="none"/>
          <w:u w:val="single"/>
        </w:rPr>
      </w:pPr>
      <w:r>
        <w:rPr>
          <w:rFonts w:hint="eastAsia" w:ascii="宋体" w:hAnsi="宋体" w:cs="MingLiU_HKSCS"/>
          <w:color w:val="auto"/>
          <w:szCs w:val="21"/>
          <w:highlight w:val="none"/>
          <w:u w:val="single"/>
        </w:rPr>
        <w:t>（2）履约担保可采用以下任一方式：①银行保函方式。其要求为：必须由承包人的基本账户所在银行开具，保证方式为连带责任保证，且须见索即付；开具该履约担保的银行级别：国有商业银行或股份制商业银行的地级市支行或以上级别的银行。如银行保函的到期时间早于工程竣工验收合格日的，承包人需在银行保函到期30天前，重新办理担保内容完全一致的银行保函，其有效期应满足工程竣工验收合格日的时间需要。承包人如未在履约担保银行保函到期日前重新办理好新的银行保函，则需承担500元/天的违约金，违约金的累计金额不超过银行保函的担保金额。②专业担保公司担保。其要求为：外地担保公司须先办理进驻备案手续；③现金担保（转帐或电汇至双方指定帐户）。（其中①项担保的保证方式为连带责任保证，保证期间为保修期限届满之日后</w:t>
      </w:r>
      <w:r>
        <w:rPr>
          <w:rFonts w:hint="eastAsia" w:cs="MingLiU_HKSCS"/>
          <w:color w:val="auto"/>
          <w:szCs w:val="21"/>
          <w:highlight w:val="none"/>
          <w:u w:val="single"/>
          <w:lang w:val="en-US" w:eastAsia="zh-CN"/>
        </w:rPr>
        <w:t>6</w:t>
      </w:r>
      <w:r>
        <w:rPr>
          <w:rFonts w:hint="eastAsia" w:ascii="宋体" w:hAnsi="宋体" w:cs="MingLiU_HKSCS"/>
          <w:color w:val="auto"/>
          <w:szCs w:val="21"/>
          <w:highlight w:val="none"/>
          <w:u w:val="single"/>
        </w:rPr>
        <w:t>个月。）</w:t>
      </w:r>
    </w:p>
    <w:p>
      <w:pPr>
        <w:spacing w:line="400" w:lineRule="exact"/>
        <w:ind w:firstLine="440" w:firstLineChars="200"/>
        <w:rPr>
          <w:rFonts w:ascii="宋体" w:hAnsi="宋体" w:cs="MingLiU_HKSCS"/>
          <w:color w:val="auto"/>
          <w:szCs w:val="21"/>
          <w:highlight w:val="none"/>
          <w:u w:val="single"/>
        </w:rPr>
      </w:pPr>
      <w:bookmarkStart w:id="130" w:name="_Toc500157605"/>
      <w:r>
        <w:rPr>
          <w:rFonts w:hint="eastAsia" w:ascii="宋体" w:hAnsi="宋体" w:cs="MingLiU_HKSCS"/>
          <w:color w:val="auto"/>
          <w:szCs w:val="21"/>
          <w:highlight w:val="none"/>
          <w:u w:val="single"/>
        </w:rPr>
        <w:t>4</w:t>
      </w:r>
      <w:bookmarkStart w:id="131" w:name="_Toc296890990"/>
      <w:bookmarkStart w:id="132" w:name="_Toc267251413"/>
      <w:bookmarkStart w:id="133" w:name="_Toc296346663"/>
      <w:bookmarkStart w:id="134" w:name="_Toc297048348"/>
      <w:bookmarkStart w:id="135" w:name="_Toc292559871"/>
      <w:bookmarkStart w:id="136" w:name="_Toc296347161"/>
      <w:bookmarkStart w:id="137" w:name="_Toc296944501"/>
      <w:bookmarkStart w:id="138" w:name="_Toc296503162"/>
      <w:bookmarkStart w:id="139" w:name="_Toc297120462"/>
      <w:bookmarkStart w:id="140" w:name="_Toc296891202"/>
      <w:bookmarkStart w:id="141" w:name="_Toc292559366"/>
      <w:r>
        <w:rPr>
          <w:rFonts w:hint="eastAsia" w:ascii="宋体" w:hAnsi="宋体" w:cs="MingLiU_HKSCS"/>
          <w:color w:val="auto"/>
          <w:szCs w:val="21"/>
          <w:highlight w:val="none"/>
          <w:u w:val="single"/>
        </w:rPr>
        <w:t>.监</w:t>
      </w:r>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MingLiU_HKSCS"/>
          <w:color w:val="auto"/>
          <w:szCs w:val="21"/>
          <w:highlight w:val="none"/>
          <w:u w:val="single"/>
        </w:rPr>
        <w:t>理人</w:t>
      </w:r>
      <w:bookmarkEnd w:id="130"/>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4.1监理人的一般规定</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关于监</w:t>
      </w:r>
      <w:r>
        <w:rPr>
          <w:rFonts w:ascii="宋体" w:hAnsi="宋体"/>
          <w:color w:val="auto"/>
          <w:szCs w:val="21"/>
          <w:highlight w:val="none"/>
        </w:rPr>
        <w:t>理人的监理内容：</w:t>
      </w:r>
      <w:r>
        <w:rPr>
          <w:rFonts w:hint="eastAsia" w:ascii="宋体" w:hAnsi="宋体"/>
          <w:color w:val="auto"/>
          <w:szCs w:val="21"/>
          <w:highlight w:val="none"/>
          <w:u w:val="single"/>
        </w:rPr>
        <w:t>按照发包人与监理人签订的合同条款约定</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按照发包人与监理人签订的合同条款约定</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按照发包人与监理人签订的合同条款约定</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4.2监理人员</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总监</w:t>
      </w:r>
      <w:r>
        <w:rPr>
          <w:rFonts w:ascii="宋体" w:hAnsi="宋体"/>
          <w:color w:val="auto"/>
          <w:szCs w:val="21"/>
          <w:highlight w:val="none"/>
        </w:rPr>
        <w:t>理工程师：</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姓    名：</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职    务：</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监理工程师执业资格证书号：</w:t>
      </w:r>
      <w:r>
        <w:rPr>
          <w:rFonts w:hint="eastAsia" w:ascii="宋体" w:hAnsi="宋体" w:cs="宋体"/>
          <w:color w:val="auto"/>
          <w:szCs w:val="21"/>
          <w:highlight w:val="none"/>
          <w:u w:val="single"/>
        </w:rPr>
        <w:t>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 </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关于监理人的其他约定：</w:t>
      </w:r>
      <w:r>
        <w:rPr>
          <w:rFonts w:hint="eastAsia" w:ascii="宋体" w:hAnsi="宋体" w:cs="宋体"/>
          <w:color w:val="auto"/>
          <w:szCs w:val="21"/>
          <w:highlight w:val="none"/>
          <w:u w:val="single"/>
        </w:rPr>
        <w:t>   </w:t>
      </w:r>
      <w:r>
        <w:rPr>
          <w:rFonts w:ascii="宋体" w:hAnsi="宋体"/>
          <w:color w:val="auto"/>
          <w:szCs w:val="21"/>
          <w:highlight w:val="none"/>
        </w:rPr>
        <w:t>。</w:t>
      </w:r>
    </w:p>
    <w:p>
      <w:pPr>
        <w:spacing w:after="120" w:line="400" w:lineRule="exact"/>
        <w:ind w:firstLine="440" w:firstLineChars="200"/>
        <w:rPr>
          <w:rFonts w:ascii="宋体" w:hAnsi="宋体"/>
          <w:color w:val="auto"/>
          <w:szCs w:val="21"/>
          <w:highlight w:val="none"/>
        </w:rPr>
      </w:pPr>
      <w:r>
        <w:rPr>
          <w:rFonts w:ascii="宋体" w:hAnsi="宋体"/>
          <w:color w:val="auto"/>
          <w:szCs w:val="21"/>
          <w:highlight w:val="none"/>
        </w:rPr>
        <w:t>4.4商定或确定</w:t>
      </w:r>
    </w:p>
    <w:p>
      <w:pPr>
        <w:spacing w:line="400" w:lineRule="exact"/>
        <w:ind w:firstLine="440" w:firstLineChars="200"/>
        <w:rPr>
          <w:rFonts w:ascii="宋体" w:hAnsi="宋体"/>
          <w:color w:val="auto"/>
          <w:kern w:val="0"/>
          <w:szCs w:val="21"/>
          <w:highlight w:val="none"/>
        </w:rPr>
      </w:pPr>
      <w:bookmarkStart w:id="142" w:name="_Toc267251418"/>
      <w:r>
        <w:rPr>
          <w:rFonts w:ascii="宋体" w:hAnsi="宋体"/>
          <w:color w:val="auto"/>
          <w:kern w:val="0"/>
          <w:szCs w:val="21"/>
          <w:highlight w:val="none"/>
        </w:rPr>
        <w:t>在发包人和承包人不能通过协商达成一致意见时，发包人授权监理人对以下事项进行确定：</w:t>
      </w:r>
    </w:p>
    <w:p>
      <w:pPr>
        <w:spacing w:line="400" w:lineRule="exact"/>
        <w:ind w:firstLine="440" w:firstLineChars="200"/>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400" w:lineRule="exact"/>
        <w:ind w:firstLine="440" w:firstLineChars="200"/>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400" w:lineRule="exact"/>
        <w:ind w:firstLine="440" w:firstLineChars="200"/>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bookmarkStart w:id="143" w:name="_Toc500157606"/>
      <w:r>
        <w:rPr>
          <w:rFonts w:ascii="宋体" w:hAnsi="宋体"/>
          <w:color w:val="auto"/>
          <w:kern w:val="0"/>
          <w:szCs w:val="21"/>
          <w:highlight w:val="none"/>
        </w:rPr>
        <w:t>5</w:t>
      </w:r>
      <w:bookmarkEnd w:id="142"/>
      <w:bookmarkStart w:id="144" w:name="_Toc296503163"/>
      <w:bookmarkStart w:id="145" w:name="_Toc292559367"/>
      <w:bookmarkStart w:id="146" w:name="_Toc296346664"/>
      <w:bookmarkStart w:id="147" w:name="_Toc296944502"/>
      <w:bookmarkStart w:id="148" w:name="_Toc297120463"/>
      <w:bookmarkStart w:id="149" w:name="_Toc292559872"/>
      <w:bookmarkStart w:id="150" w:name="_Toc296890991"/>
      <w:bookmarkStart w:id="151" w:name="_Toc297048349"/>
      <w:bookmarkStart w:id="152" w:name="_Toc296347162"/>
      <w:bookmarkStart w:id="153" w:name="_Toc296891203"/>
      <w:r>
        <w:rPr>
          <w:rFonts w:ascii="宋体" w:hAnsi="宋体"/>
          <w:color w:val="auto"/>
          <w:kern w:val="0"/>
          <w:szCs w:val="21"/>
          <w:highlight w:val="none"/>
        </w:rPr>
        <w:t>.工程质量</w:t>
      </w:r>
      <w:bookmarkEnd w:id="143"/>
    </w:p>
    <w:p>
      <w:pPr>
        <w:spacing w:line="400" w:lineRule="exact"/>
        <w:ind w:firstLine="440" w:firstLineChars="200"/>
        <w:rPr>
          <w:rFonts w:ascii="宋体" w:hAnsi="宋体"/>
          <w:color w:val="auto"/>
          <w:kern w:val="0"/>
          <w:szCs w:val="21"/>
          <w:highlight w:val="none"/>
        </w:rPr>
      </w:pPr>
      <w:bookmarkStart w:id="154" w:name="_Toc500157607"/>
      <w:r>
        <w:rPr>
          <w:rFonts w:ascii="宋体" w:hAnsi="宋体"/>
          <w:color w:val="auto"/>
          <w:kern w:val="0"/>
          <w:szCs w:val="21"/>
          <w:highlight w:val="none"/>
        </w:rPr>
        <w:t>5.1质量要求</w:t>
      </w:r>
      <w:bookmarkEnd w:id="154"/>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5</w:t>
      </w:r>
      <w:bookmarkStart w:id="155" w:name="_Toc297123496"/>
      <w:bookmarkStart w:id="156" w:name="_Toc318581164"/>
      <w:bookmarkStart w:id="157" w:name="_Toc297216155"/>
      <w:bookmarkStart w:id="158" w:name="_Toc300934949"/>
      <w:bookmarkStart w:id="159" w:name="_Toc303539106"/>
      <w:bookmarkStart w:id="160" w:name="_Toc312677997"/>
      <w:bookmarkStart w:id="161" w:name="_Toc304295527"/>
      <w:r>
        <w:rPr>
          <w:rFonts w:ascii="宋体" w:hAnsi="宋体"/>
          <w:color w:val="auto"/>
          <w:kern w:val="0"/>
          <w:szCs w:val="21"/>
          <w:highlight w:val="none"/>
        </w:rPr>
        <w:t>.1.1特</w:t>
      </w:r>
      <w:r>
        <w:rPr>
          <w:rFonts w:ascii="宋体" w:hAnsi="宋体"/>
          <w:color w:val="auto"/>
          <w:szCs w:val="21"/>
          <w:highlight w:val="none"/>
        </w:rPr>
        <w:t>殊质量标准和要求：</w:t>
      </w:r>
      <w:r>
        <w:rPr>
          <w:rFonts w:hint="eastAsia" w:ascii="宋体" w:hAnsi="宋体"/>
          <w:color w:val="auto"/>
          <w:szCs w:val="21"/>
          <w:highlight w:val="none"/>
          <w:u w:val="single"/>
        </w:rPr>
        <w:t>工程质量必须达到(建筑工程施工质量验收统一标准)有关标准的合格等级，按分项工程评定的合格率 100 ％；工程一次交验合格率必须达到 100％。若因承包人原因导致工程质量未达到合格标准，则承包人承担合同价款 1 %的违约处罚，并负责整改直至达到合格标准</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162" w:name="_Toc500157608"/>
      <w:r>
        <w:rPr>
          <w:rFonts w:ascii="宋体" w:hAnsi="宋体"/>
          <w:color w:val="auto"/>
          <w:kern w:val="0"/>
          <w:szCs w:val="21"/>
          <w:highlight w:val="none"/>
        </w:rPr>
        <w:t>5.3隐蔽工程检查</w:t>
      </w:r>
      <w:bookmarkEnd w:id="162"/>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5.3.2承</w:t>
      </w:r>
      <w:r>
        <w:rPr>
          <w:rFonts w:ascii="宋体" w:hAnsi="宋体"/>
          <w:color w:val="auto"/>
          <w:szCs w:val="21"/>
          <w:highlight w:val="none"/>
        </w:rPr>
        <w:t>包人提前通知监理人隐蔽工程检查的期限的约定：</w:t>
      </w:r>
      <w:r>
        <w:rPr>
          <w:rFonts w:hint="eastAsia" w:ascii="宋体" w:hAnsi="宋体"/>
          <w:color w:val="auto"/>
          <w:szCs w:val="21"/>
          <w:highlight w:val="none"/>
          <w:u w:val="single"/>
        </w:rPr>
        <w:t>未经监理和建设单位代表批准，承包人所施工的任何隐蔽工程均不能实施覆盖，当承包人施工的隐蔽工程已自检合格具备验收条件时，承包人必须提前 24 小时书面通知监理和建设单位代表，通知包括隐蔽的内容、地点、申请验收的时间，由监理组织有关人员对该部分工 程进行检验，检验合格后，再报请建设单位进行隐蔽验收</w:t>
      </w:r>
      <w:r>
        <w:rPr>
          <w:rFonts w:ascii="宋体" w:hAnsi="宋体"/>
          <w:color w:val="auto"/>
          <w:szCs w:val="21"/>
          <w:highlight w:val="none"/>
        </w:rPr>
        <w:t>。</w:t>
      </w:r>
    </w:p>
    <w:p>
      <w:pPr>
        <w:spacing w:line="400" w:lineRule="exact"/>
        <w:ind w:firstLine="440" w:firstLineChars="200"/>
        <w:rPr>
          <w:rFonts w:ascii="宋体" w:hAnsi="宋体"/>
          <w:color w:val="auto"/>
          <w:szCs w:val="21"/>
          <w:highlight w:val="none"/>
          <w:u w:val="single"/>
        </w:rPr>
      </w:pPr>
      <w:r>
        <w:rPr>
          <w:rFonts w:ascii="宋体" w:hAnsi="宋体"/>
          <w:color w:val="auto"/>
          <w:szCs w:val="21"/>
          <w:highlight w:val="none"/>
        </w:rPr>
        <w:t>监理人不能按时进行检查时，</w:t>
      </w:r>
      <w:r>
        <w:rPr>
          <w:rFonts w:hint="eastAsia" w:ascii="宋体" w:hAnsi="宋体"/>
          <w:color w:val="auto"/>
          <w:szCs w:val="21"/>
          <w:highlight w:val="none"/>
        </w:rPr>
        <w:t>应提前</w:t>
      </w:r>
      <w:r>
        <w:rPr>
          <w:rFonts w:hint="eastAsia" w:ascii="宋体" w:hAnsi="宋体"/>
          <w:color w:val="auto"/>
          <w:szCs w:val="21"/>
          <w:highlight w:val="none"/>
          <w:u w:val="single"/>
        </w:rPr>
        <w:t xml:space="preserve"> 12 </w:t>
      </w:r>
      <w:r>
        <w:rPr>
          <w:rFonts w:hint="eastAsia" w:ascii="宋体" w:hAnsi="宋体"/>
          <w:color w:val="auto"/>
          <w:szCs w:val="21"/>
          <w:highlight w:val="none"/>
        </w:rPr>
        <w:t>小时提交书面延期要求</w:t>
      </w:r>
      <w:r>
        <w:rPr>
          <w:rFonts w:hint="eastAsia" w:ascii="宋体" w:hAnsi="宋体"/>
          <w:color w:val="auto"/>
          <w:szCs w:val="21"/>
          <w:highlight w:val="none"/>
          <w:u w:val="single"/>
        </w:rPr>
        <w:t>。</w:t>
      </w:r>
    </w:p>
    <w:p>
      <w:pPr>
        <w:spacing w:line="400" w:lineRule="exact"/>
        <w:ind w:firstLine="440" w:firstLineChars="200"/>
        <w:rPr>
          <w:rFonts w:hint="eastAsia" w:ascii="宋体" w:hAnsi="宋体"/>
          <w:color w:val="auto"/>
          <w:szCs w:val="21"/>
          <w:highlight w:val="none"/>
          <w:u w:val="single"/>
        </w:rPr>
      </w:pPr>
      <w:bookmarkStart w:id="163" w:name="_Toc500157609"/>
      <w:r>
        <w:rPr>
          <w:rFonts w:hint="eastAsia" w:ascii="宋体" w:hAnsi="宋体"/>
          <w:color w:val="auto"/>
          <w:szCs w:val="21"/>
          <w:highlight w:val="none"/>
        </w:rPr>
        <w:t>6.安全文明施工与环境保护</w:t>
      </w:r>
      <w:bookmarkEnd w:id="163"/>
      <w:r>
        <w:rPr>
          <w:rFonts w:hint="eastAsia" w:ascii="宋体" w:hAnsi="宋体"/>
          <w:color w:val="auto"/>
          <w:szCs w:val="21"/>
          <w:highlight w:val="none"/>
          <w:u w:val="single"/>
        </w:rPr>
        <w:t>（备注：根据《广东省市政工程综合定额2018》要求，现“绿色施工安全防护措施费”替代了旧的“文明施工措施费”，绿色施工安全防护措施费包括绿色施工（含施工扬尘污染防治措施费）、临时设施、安全施工和用工实名管理等费用，其费用为不可竞争费用，计价时应单独列项。）</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6.1安全文明施工</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6.1.1</w:t>
      </w:r>
      <w:r>
        <w:rPr>
          <w:rFonts w:ascii="宋体" w:hAnsi="宋体"/>
          <w:color w:val="auto"/>
          <w:szCs w:val="21"/>
          <w:highlight w:val="none"/>
        </w:rPr>
        <w:t>项目安全生产的达标目标及相应事项的约定：</w:t>
      </w:r>
      <w:r>
        <w:rPr>
          <w:rFonts w:hint="eastAsia" w:ascii="宋体" w:hAnsi="宋体"/>
          <w:color w:val="auto"/>
          <w:szCs w:val="21"/>
          <w:highlight w:val="none"/>
          <w:u w:val="single"/>
        </w:rPr>
        <w:t>承包人应按《建筑施工企业安全生产管理机构设置及专职安全生产管理人员配备方法》建质[2008]91号设置专职安全生产管理人员，并按照相关内容和国家行业规范要求采取有效的安全措施，以保证自身、第三人和周边环境的安全</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6.1.4关于治安保卫的特别约定：</w:t>
      </w:r>
      <w:r>
        <w:rPr>
          <w:rFonts w:hint="eastAsia" w:ascii="宋体" w:hAnsi="宋体"/>
          <w:color w:val="auto"/>
          <w:szCs w:val="21"/>
          <w:highlight w:val="none"/>
          <w:u w:val="single"/>
        </w:rPr>
        <w:t>施工现场的安全保卫工作（包括此工作产生的费用）均由承包人承担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关于编制施工场地治安管理计划的约定：</w:t>
      </w:r>
      <w:r>
        <w:rPr>
          <w:rFonts w:hint="eastAsia" w:ascii="宋体" w:hAnsi="宋体"/>
          <w:color w:val="auto"/>
          <w:szCs w:val="21"/>
          <w:highlight w:val="none"/>
          <w:u w:val="single"/>
        </w:rPr>
        <w:t>开工前 3 天提交</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hint="eastAsia" w:ascii="宋体" w:hAnsi="宋体"/>
          <w:color w:val="auto"/>
          <w:szCs w:val="21"/>
          <w:highlight w:val="none"/>
        </w:rPr>
        <w:t>6.1.5文明施工</w:t>
      </w:r>
    </w:p>
    <w:p>
      <w:pPr>
        <w:spacing w:line="400" w:lineRule="exact"/>
        <w:ind w:firstLine="426"/>
        <w:jc w:val="left"/>
        <w:rPr>
          <w:rFonts w:ascii="宋体" w:hAnsi="宋体"/>
          <w:color w:val="auto"/>
          <w:szCs w:val="21"/>
          <w:highlight w:val="none"/>
        </w:rPr>
      </w:pPr>
      <w:r>
        <w:rPr>
          <w:rFonts w:hint="eastAsia" w:ascii="宋体" w:hAnsi="宋体"/>
          <w:color w:val="auto"/>
          <w:szCs w:val="21"/>
          <w:highlight w:val="none"/>
        </w:rPr>
        <w:t>合同当事人对文明施工的要求：</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①执行《建筑施工安全检查标准》（</w:t>
      </w:r>
      <w:r>
        <w:rPr>
          <w:rFonts w:ascii="宋体" w:hAnsi="宋体"/>
          <w:color w:val="auto"/>
          <w:szCs w:val="21"/>
          <w:highlight w:val="none"/>
          <w:u w:val="single"/>
        </w:rPr>
        <w:t>JGJ59-</w:t>
      </w:r>
      <w:r>
        <w:rPr>
          <w:rFonts w:hint="eastAsia" w:ascii="宋体" w:hAnsi="宋体"/>
          <w:color w:val="auto"/>
          <w:szCs w:val="21"/>
          <w:highlight w:val="none"/>
          <w:u w:val="single"/>
        </w:rPr>
        <w:t>2011）、《云浮市人民政府办公室关于印发云浮市城区房屋建筑和市政基础设施工程施工扬尘污染防治管理办法（试行）的通知》（云府办[2018]13号）；</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②承包人应按合同约定履行安全职责，执行监理工程师有关安全工作的指示，并在专用合同条款约定的期限内，按合同条款约定的安全工作内容，编制施工安全措施计划报送监理工程师审批；</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③施工过程中承包人应做好防尘、防洪、防涝、防止水土流失等措施，相关费用已包含在工程报价中，如施工期间造成第三人损失，其损失、赔偿费用均由承包人自行承担。承包人工程实施期间，如有高边坡施工段的，应编制专项施工技术方案，报送监理工程师审批，方可实施。同时应做好施工范围内的高、低压电线、电塔、民房等保护工作，相关费用已包含在工程报价中，如施工期间造成损失，其损失、赔偿费用均由承包人自行承担。</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④承包人应加强施工作业安全管理，特别应加强易燃、易爆材料火工器材、有毒与腐蚀性材料和其他危险品的管理。</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⑤承包人应严格按照国家安全标准制定施工安全操作规程，配备必要的安全生产和劳动保护设施，加强对承包人人员的安全教育，并发放安全工作手册和劳动保护用具。</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⑥承包人应按监理工程师的指示制定应对灾害的紧急预案，报送监理工程师审批。承包人还应该按预案做好安全检查工作，配置必要的救助物资和器材，切实做好人员的人身和财产安全的保护工作。</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⑦合同约定的安全作业环境及安全施工措施所需费用应遵守有关规定，并包括在相关工作的合同价格中。</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⑧承包人应对其履行合同所雇佣的全部人员，包括分包人人员的工伤事故承担责任，但由于发包人故意或重大过失原因而造成承包人人员工伤事故的，应由发包人承担责任。</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⑨由于承包人原因在施工场地内及其毗邻地带造成的第三者人员伤亡和财产损失的，由承包人负责赔偿。</w:t>
      </w:r>
    </w:p>
    <w:p>
      <w:pPr>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u w:val="single"/>
        </w:rPr>
        <w:t>⑩承包人在施工期间涉及电力设施的，须接受当地供电管理部门的管理和监督。</w:t>
      </w:r>
    </w:p>
    <w:p>
      <w:pPr>
        <w:spacing w:line="400" w:lineRule="exact"/>
        <w:ind w:firstLine="426"/>
        <w:jc w:val="left"/>
        <w:rPr>
          <w:rFonts w:ascii="宋体" w:hAnsi="宋体" w:cs="MingLiU_HKSCS"/>
          <w:color w:val="auto"/>
          <w:szCs w:val="21"/>
          <w:highlight w:val="none"/>
          <w:u w:val="single"/>
        </w:rPr>
      </w:pPr>
      <w:r>
        <w:rPr>
          <w:rFonts w:hint="eastAsia" w:ascii="Cambria Math" w:hAnsi="Cambria Math" w:cs="Cambria Math"/>
          <w:color w:val="auto"/>
          <w:szCs w:val="21"/>
          <w:highlight w:val="none"/>
          <w:u w:val="single"/>
        </w:rPr>
        <w:t>⑪</w:t>
      </w:r>
      <w:r>
        <w:rPr>
          <w:rFonts w:hint="eastAsia" w:ascii="宋体" w:hAnsi="宋体"/>
          <w:color w:val="auto"/>
          <w:szCs w:val="21"/>
          <w:highlight w:val="none"/>
          <w:u w:val="single"/>
        </w:rPr>
        <w:t>进度、安全、质量、人员未达到合同或施工组织设计要求的，发包人视情况约见其法定代表人，并按照5000元/每次</w:t>
      </w:r>
      <w:r>
        <w:rPr>
          <w:rFonts w:hint="eastAsia" w:ascii="宋体" w:hAnsi="宋体" w:cs="MingLiU_HKSCS"/>
          <w:color w:val="auto"/>
          <w:szCs w:val="21"/>
          <w:highlight w:val="none"/>
          <w:u w:val="single"/>
        </w:rPr>
        <w:t>在当月的工程进度款中扣罚，如未到场的将向相关行业主管部门通报。</w:t>
      </w:r>
    </w:p>
    <w:p>
      <w:pPr>
        <w:spacing w:line="400" w:lineRule="exact"/>
        <w:ind w:firstLine="426"/>
        <w:jc w:val="left"/>
        <w:rPr>
          <w:rFonts w:ascii="宋体" w:hAnsi="宋体" w:cs="MingLiU_HKSCS"/>
          <w:color w:val="auto"/>
          <w:szCs w:val="21"/>
          <w:highlight w:val="none"/>
          <w:u w:val="single"/>
        </w:rPr>
      </w:pPr>
      <w:r>
        <w:rPr>
          <w:rFonts w:hint="eastAsia" w:ascii="Cambria Math" w:hAnsi="Cambria Math" w:cs="Cambria Math"/>
          <w:color w:val="auto"/>
          <w:szCs w:val="21"/>
          <w:highlight w:val="none"/>
          <w:u w:val="single"/>
        </w:rPr>
        <w:t>⑫</w:t>
      </w:r>
      <w:r>
        <w:rPr>
          <w:rFonts w:hint="eastAsia" w:ascii="宋体" w:hAnsi="宋体" w:cs="MingLiU_HKSCS"/>
          <w:color w:val="auto"/>
          <w:szCs w:val="21"/>
          <w:highlight w:val="none"/>
          <w:u w:val="single"/>
        </w:rPr>
        <w:t>承包人擅自挪用安全措施费的，责令限期整改，按《建筑工程安全防护、文明施工措施费用及使用规定》（建办[2005]89号文）进行处罚，造成损失的，依法承担赔偿责任；造成重大安全事故，构成犯罪的，将依照刑法的有关规定对直接责任人员追究刑事责任。</w:t>
      </w:r>
    </w:p>
    <w:p>
      <w:pPr>
        <w:spacing w:line="400" w:lineRule="exact"/>
        <w:ind w:firstLine="426"/>
        <w:jc w:val="left"/>
        <w:rPr>
          <w:rFonts w:ascii="宋体" w:hAnsi="宋体"/>
          <w:color w:val="auto"/>
          <w:szCs w:val="21"/>
          <w:highlight w:val="none"/>
          <w:u w:val="single"/>
        </w:rPr>
      </w:pPr>
      <w:r>
        <w:rPr>
          <w:rFonts w:hint="eastAsia" w:ascii="Cambria Math" w:hAnsi="Cambria Math" w:cs="Cambria Math"/>
          <w:color w:val="auto"/>
          <w:szCs w:val="21"/>
          <w:highlight w:val="none"/>
          <w:u w:val="single"/>
        </w:rPr>
        <w:t>⑬</w:t>
      </w:r>
      <w:r>
        <w:rPr>
          <w:rFonts w:hint="eastAsia" w:ascii="宋体" w:hAnsi="宋体" w:cs="MingLiU_HKSCS"/>
          <w:color w:val="auto"/>
          <w:szCs w:val="21"/>
          <w:highlight w:val="none"/>
          <w:u w:val="single"/>
        </w:rPr>
        <w:t>绿色施工安全防护措施费的总金额为</w:t>
      </w:r>
      <w:r>
        <w:rPr>
          <w:rFonts w:hint="eastAsia" w:cs="MingLiU_HKSCS"/>
          <w:color w:val="auto"/>
          <w:szCs w:val="21"/>
          <w:highlight w:val="none"/>
          <w:u w:val="single"/>
          <w:lang w:val="en-US" w:eastAsia="zh-CN"/>
        </w:rPr>
        <w:t>2974224.42元</w:t>
      </w:r>
      <w:r>
        <w:rPr>
          <w:rFonts w:hint="eastAsia" w:ascii="宋体" w:hAnsi="宋体" w:cs="MingLiU_HKSCS"/>
          <w:color w:val="auto"/>
          <w:szCs w:val="21"/>
          <w:highlight w:val="none"/>
          <w:u w:val="single"/>
        </w:rPr>
        <w:t>。</w:t>
      </w:r>
    </w:p>
    <w:p>
      <w:pPr>
        <w:autoSpaceDE w:val="0"/>
        <w:autoSpaceDN w:val="0"/>
        <w:adjustRightInd w:val="0"/>
        <w:spacing w:line="400" w:lineRule="exact"/>
        <w:ind w:firstLine="556" w:firstLineChars="253"/>
        <w:jc w:val="left"/>
        <w:rPr>
          <w:rFonts w:ascii="宋体" w:hAnsi="宋体" w:cs="MingLiU_HKSCS"/>
          <w:color w:val="auto"/>
          <w:szCs w:val="21"/>
          <w:highlight w:val="none"/>
          <w:u w:val="single"/>
        </w:rPr>
      </w:pPr>
      <w:r>
        <w:rPr>
          <w:rFonts w:ascii="宋体" w:hAnsi="宋体"/>
          <w:color w:val="auto"/>
          <w:szCs w:val="21"/>
          <w:highlight w:val="none"/>
        </w:rPr>
        <w:t>6.1.6关于安全文明施工费支付比例和支付期限的约定：</w:t>
      </w:r>
      <w:r>
        <w:rPr>
          <w:rFonts w:hint="eastAsia" w:ascii="宋体" w:hAnsi="宋体" w:cs="MingLiU_HKSCS"/>
          <w:color w:val="auto"/>
          <w:szCs w:val="21"/>
          <w:highlight w:val="none"/>
          <w:u w:val="single"/>
        </w:rPr>
        <w:t>绿色施工安全防护措施费（按承包人投标报价费用）分阶段划拨，承包人应当根据不同阶段对安全生产、文明施工的要求采取相应的措施，由监理单位签署验收意见，经工程建设安全监督机构（以下简称安监机构）或监理单位阶段安全评价合格后，发包人在一周内划拨给承包人；阶段安全评价不合格者，发包人不再划拨绿色施工安全防护措施费给承包人，待整改合格后，方才继续划拨。分阶段拨付绿色施工安全防护措施费的比例如下：</w:t>
      </w:r>
    </w:p>
    <w:tbl>
      <w:tblPr>
        <w:tblStyle w:val="23"/>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528" w:type="dxa"/>
            <w:vAlign w:val="center"/>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施工阶段评价合格</w:t>
            </w:r>
          </w:p>
        </w:tc>
        <w:tc>
          <w:tcPr>
            <w:tcW w:w="3119" w:type="dxa"/>
            <w:vAlign w:val="center"/>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措施费划拨比例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528"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施工准备评价</w:t>
            </w:r>
          </w:p>
        </w:tc>
        <w:tc>
          <w:tcPr>
            <w:tcW w:w="3119"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528"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达标评价(开工一个月或完成工程量15%)</w:t>
            </w:r>
          </w:p>
        </w:tc>
        <w:tc>
          <w:tcPr>
            <w:tcW w:w="3119"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528"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完成工程量40%</w:t>
            </w:r>
          </w:p>
        </w:tc>
        <w:tc>
          <w:tcPr>
            <w:tcW w:w="3119"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528"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完成工程量70%</w:t>
            </w:r>
          </w:p>
        </w:tc>
        <w:tc>
          <w:tcPr>
            <w:tcW w:w="3119" w:type="dxa"/>
            <w:vAlign w:val="top"/>
          </w:tcPr>
          <w:p>
            <w:pPr>
              <w:autoSpaceDE w:val="0"/>
              <w:autoSpaceDN w:val="0"/>
              <w:adjustRightIn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528" w:type="dxa"/>
            <w:vAlign w:val="top"/>
          </w:tcPr>
          <w:p>
            <w:pPr>
              <w:autoSpaceDE w:val="0"/>
              <w:autoSpaceDN w:val="0"/>
              <w:adjustRightIn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竣工评价</w:t>
            </w:r>
          </w:p>
        </w:tc>
        <w:tc>
          <w:tcPr>
            <w:tcW w:w="3119" w:type="dxa"/>
            <w:vAlign w:val="top"/>
          </w:tcPr>
          <w:p>
            <w:pPr>
              <w:autoSpaceDE w:val="0"/>
              <w:autoSpaceDN w:val="0"/>
              <w:adjustRightIn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20%</w:t>
            </w:r>
          </w:p>
        </w:tc>
      </w:tr>
      <w:bookmarkEnd w:id="155"/>
      <w:bookmarkEnd w:id="156"/>
      <w:bookmarkEnd w:id="157"/>
      <w:bookmarkEnd w:id="158"/>
      <w:bookmarkEnd w:id="159"/>
      <w:bookmarkEnd w:id="160"/>
      <w:bookmarkEnd w:id="161"/>
    </w:tbl>
    <w:p>
      <w:pPr>
        <w:autoSpaceDE w:val="0"/>
        <w:autoSpaceDN w:val="0"/>
        <w:adjustRightInd w:val="0"/>
        <w:spacing w:line="400" w:lineRule="exact"/>
        <w:ind w:firstLine="440" w:firstLineChars="200"/>
        <w:jc w:val="left"/>
        <w:rPr>
          <w:rFonts w:ascii="宋体" w:hAnsi="宋体"/>
          <w:b/>
          <w:color w:val="auto"/>
          <w:szCs w:val="21"/>
          <w:highlight w:val="none"/>
        </w:rPr>
      </w:pPr>
      <w:bookmarkStart w:id="164" w:name="_Toc500157610"/>
      <w:r>
        <w:rPr>
          <w:rFonts w:ascii="宋体" w:hAnsi="宋体"/>
          <w:color w:val="auto"/>
          <w:kern w:val="0"/>
          <w:szCs w:val="21"/>
          <w:highlight w:val="none"/>
        </w:rPr>
        <w:t>7.工期和进度</w:t>
      </w:r>
      <w:bookmarkEnd w:id="164"/>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7.1施工组织设计</w:t>
      </w:r>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7.1.</w:t>
      </w:r>
      <w:r>
        <w:rPr>
          <w:rFonts w:hint="eastAsia" w:ascii="宋体" w:hAnsi="宋体"/>
          <w:color w:val="auto"/>
          <w:kern w:val="0"/>
          <w:szCs w:val="21"/>
          <w:highlight w:val="none"/>
        </w:rPr>
        <w:t>1合同当事人约定的</w:t>
      </w:r>
      <w:r>
        <w:rPr>
          <w:rFonts w:ascii="宋体" w:hAnsi="宋体"/>
          <w:color w:val="auto"/>
          <w:kern w:val="0"/>
          <w:szCs w:val="21"/>
          <w:highlight w:val="none"/>
        </w:rPr>
        <w:t>施工组织设计</w:t>
      </w:r>
      <w:r>
        <w:rPr>
          <w:rFonts w:hint="eastAsia" w:ascii="宋体" w:hAnsi="宋体"/>
          <w:color w:val="auto"/>
          <w:kern w:val="0"/>
          <w:szCs w:val="21"/>
          <w:highlight w:val="none"/>
        </w:rPr>
        <w:t>应包括的其他内容</w:t>
      </w:r>
      <w:r>
        <w:rPr>
          <w:rFonts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zCs w:val="21"/>
          <w:highlight w:val="none"/>
        </w:rPr>
        <w:t>。</w:t>
      </w:r>
    </w:p>
    <w:p>
      <w:pPr>
        <w:autoSpaceDE w:val="0"/>
        <w:autoSpaceDN w:val="0"/>
        <w:adjustRightInd w:val="0"/>
        <w:spacing w:line="400" w:lineRule="exact"/>
        <w:ind w:firstLine="440" w:firstLineChars="200"/>
        <w:jc w:val="left"/>
        <w:rPr>
          <w:rFonts w:ascii="宋体" w:hAnsi="宋体"/>
          <w:color w:val="auto"/>
          <w:kern w:val="0"/>
          <w:szCs w:val="21"/>
          <w:highlight w:val="none"/>
        </w:rPr>
      </w:pPr>
      <w:r>
        <w:rPr>
          <w:rFonts w:ascii="宋体" w:hAnsi="宋体"/>
          <w:color w:val="auto"/>
          <w:szCs w:val="21"/>
          <w:highlight w:val="none"/>
        </w:rPr>
        <w:t>7.1.2</w:t>
      </w:r>
      <w:r>
        <w:rPr>
          <w:rFonts w:ascii="宋体" w:hAnsi="宋体"/>
          <w:color w:val="auto"/>
          <w:kern w:val="0"/>
          <w:szCs w:val="21"/>
          <w:highlight w:val="none"/>
        </w:rPr>
        <w:t>施工组织设计的提交和修改</w:t>
      </w:r>
    </w:p>
    <w:p>
      <w:pPr>
        <w:autoSpaceDE w:val="0"/>
        <w:autoSpaceDN w:val="0"/>
        <w:adjustRightInd w:val="0"/>
        <w:spacing w:line="400" w:lineRule="exact"/>
        <w:ind w:firstLine="440" w:firstLineChars="200"/>
        <w:jc w:val="left"/>
        <w:rPr>
          <w:rFonts w:ascii="宋体" w:hAnsi="宋体"/>
          <w:color w:val="auto"/>
          <w:szCs w:val="21"/>
          <w:highlight w:val="none"/>
          <w:u w:val="single"/>
        </w:rPr>
      </w:pPr>
      <w:r>
        <w:rPr>
          <w:rFonts w:ascii="宋体" w:hAnsi="宋体"/>
          <w:color w:val="auto"/>
          <w:kern w:val="0"/>
          <w:szCs w:val="21"/>
          <w:highlight w:val="none"/>
        </w:rPr>
        <w:t>承包人提交详细施工组织设计的期限的约定：</w:t>
      </w:r>
      <w:r>
        <w:rPr>
          <w:rFonts w:hint="eastAsia" w:ascii="宋体" w:hAnsi="宋体"/>
          <w:color w:val="auto"/>
          <w:szCs w:val="21"/>
          <w:highlight w:val="none"/>
          <w:u w:val="single"/>
        </w:rPr>
        <w:t>在工程开工7天前，承包人向发包人及监理提交符合工程实际情况的施工组织设计和工程进度计划，详细说明整个工程的总进度计划、劳动力计划、机械设备进场计划、材料计划、需配合的事项、可能遇到的不利因素及相应的措施等，承包人必须按监理工程师确认的进度计划组织施工，接受监理工程师对进度的检查和监督；在每月22日前提供当月进度统计报表和下月进度计划表，在施工过程中，因承包人的原因导致工程实际进度与经确认的施工组织设计和工程进度不符时，承包人应按现场监理工程师的要求提出改进措施，经监理工程师确认后执行，采取改进措施额外产生的费用由承包人承担</w:t>
      </w:r>
      <w:r>
        <w:rPr>
          <w:rFonts w:ascii="宋体" w:hAnsi="宋体"/>
          <w:color w:val="auto"/>
          <w:szCs w:val="21"/>
          <w:highlight w:val="none"/>
        </w:rPr>
        <w:t>。</w:t>
      </w:r>
    </w:p>
    <w:p>
      <w:pPr>
        <w:spacing w:line="400" w:lineRule="exact"/>
        <w:ind w:firstLine="440" w:firstLineChars="200"/>
        <w:jc w:val="left"/>
        <w:rPr>
          <w:rFonts w:hint="eastAsia" w:ascii="宋体" w:hAnsi="宋体"/>
          <w:color w:val="auto"/>
          <w:szCs w:val="21"/>
          <w:highlight w:val="none"/>
        </w:rPr>
      </w:pPr>
      <w:r>
        <w:rPr>
          <w:rFonts w:ascii="宋体" w:hAnsi="宋体"/>
          <w:color w:val="auto"/>
          <w:szCs w:val="21"/>
          <w:highlight w:val="none"/>
        </w:rPr>
        <w:t>发包人和监理人在收到</w:t>
      </w:r>
      <w:r>
        <w:rPr>
          <w:rFonts w:hint="eastAsia" w:ascii="宋体" w:hAnsi="宋体"/>
          <w:color w:val="auto"/>
          <w:szCs w:val="21"/>
          <w:highlight w:val="none"/>
        </w:rPr>
        <w:t>详细的施工组织设计</w:t>
      </w:r>
      <w:r>
        <w:rPr>
          <w:rFonts w:ascii="宋体" w:hAnsi="宋体"/>
          <w:color w:val="auto"/>
          <w:szCs w:val="21"/>
          <w:highlight w:val="none"/>
        </w:rPr>
        <w:t>后确认或提出修改意见的期限：</w:t>
      </w:r>
      <w:r>
        <w:rPr>
          <w:rFonts w:hint="eastAsia" w:ascii="宋体" w:hAnsi="宋体"/>
          <w:color w:val="auto"/>
          <w:szCs w:val="21"/>
          <w:highlight w:val="none"/>
          <w:u w:val="single"/>
        </w:rPr>
        <w:t>在承包人提供施工组织设计后7天内审定完毕，若发包人对其施工组织设计提出质疑或要求承包人进行修正，承包人需在规定期限内提供修正后的施工组织设计，发包人应在收到其修正后的施工组织设计7天内审定完毕，并确定最终的施工组织设计</w:t>
      </w:r>
      <w:r>
        <w:rPr>
          <w:rFonts w:ascii="宋体" w:hAnsi="宋体"/>
          <w:color w:val="auto"/>
          <w:szCs w:val="21"/>
          <w:highlight w:val="none"/>
          <w:u w:val="single"/>
        </w:rPr>
        <w:t>。</w:t>
      </w:r>
      <w:r>
        <w:rPr>
          <w:rFonts w:hint="eastAsia" w:ascii="宋体" w:hAnsi="宋体"/>
          <w:color w:val="auto"/>
          <w:szCs w:val="21"/>
          <w:highlight w:val="none"/>
          <w:u w:val="single"/>
        </w:rPr>
        <w:t>监理人应按协议条款约定的时间（7天内）予以批准或提出修改意见，逾期不批复，可视为该施工组织设计和进度计划已经批准。</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7</w:t>
      </w:r>
      <w:bookmarkStart w:id="165" w:name="_Toc300934966"/>
      <w:bookmarkStart w:id="166" w:name="_Toc297216173"/>
      <w:bookmarkStart w:id="167" w:name="_Toc312677479"/>
      <w:bookmarkStart w:id="168" w:name="_Toc303539123"/>
      <w:bookmarkStart w:id="169" w:name="_Toc297123514"/>
      <w:bookmarkStart w:id="170" w:name="_Toc304295541"/>
      <w:bookmarkStart w:id="171" w:name="_Toc312678005"/>
      <w:r>
        <w:rPr>
          <w:rFonts w:ascii="宋体" w:hAnsi="宋体"/>
          <w:color w:val="auto"/>
          <w:kern w:val="0"/>
          <w:szCs w:val="21"/>
          <w:highlight w:val="none"/>
        </w:rPr>
        <w:t>.2施工进度计划</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7.2.2施</w:t>
      </w:r>
      <w:r>
        <w:rPr>
          <w:rFonts w:ascii="宋体" w:hAnsi="宋体"/>
          <w:color w:val="auto"/>
          <w:szCs w:val="21"/>
          <w:highlight w:val="none"/>
        </w:rPr>
        <w:t>工进度计划的修订</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在承包人提供施工进度计划后7天内审定完毕，若发包人对其施工进度计划提出质疑或要求承包人进行修正，承包人需在规定期限内提供修正后的施工进度计划，发包人应在收到其修正后的施工进度计划7天内审定完毕，并确定最终的施工进度计划</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7.3开工</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7.3.1开</w:t>
      </w:r>
      <w:r>
        <w:rPr>
          <w:rFonts w:ascii="宋体" w:hAnsi="宋体"/>
          <w:color w:val="auto"/>
          <w:szCs w:val="21"/>
          <w:highlight w:val="none"/>
        </w:rPr>
        <w:t>工准备</w:t>
      </w:r>
    </w:p>
    <w:p>
      <w:pPr>
        <w:spacing w:line="400" w:lineRule="exact"/>
        <w:ind w:firstLine="426"/>
        <w:jc w:val="left"/>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p>
      <w:pPr>
        <w:spacing w:line="400" w:lineRule="exact"/>
        <w:ind w:firstLine="426"/>
        <w:jc w:val="left"/>
        <w:rPr>
          <w:rFonts w:ascii="宋体" w:hAnsi="宋体"/>
          <w:color w:val="auto"/>
          <w:szCs w:val="21"/>
          <w:highlight w:val="none"/>
          <w:u w:val="single"/>
        </w:rPr>
      </w:pPr>
      <w:r>
        <w:rPr>
          <w:rFonts w:ascii="宋体" w:hAnsi="宋体"/>
          <w:color w:val="auto"/>
          <w:szCs w:val="21"/>
          <w:highlight w:val="none"/>
        </w:rPr>
        <w:t>关于发包人应完成的其他开工准备工作及期限：</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关于承包人应完成的其他开工准备工作及期限：</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7.3.2开工通知</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发出开工通知的，承包人有权提出解除合同。</w:t>
      </w:r>
    </w:p>
    <w:bookmarkEnd w:id="165"/>
    <w:bookmarkEnd w:id="166"/>
    <w:bookmarkEnd w:id="167"/>
    <w:bookmarkEnd w:id="168"/>
    <w:bookmarkEnd w:id="169"/>
    <w:bookmarkEnd w:id="170"/>
    <w:bookmarkEnd w:id="171"/>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7.4测量放线</w:t>
      </w:r>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7.4.1发</w:t>
      </w:r>
      <w:r>
        <w:rPr>
          <w:rFonts w:ascii="宋体" w:hAnsi="宋体"/>
          <w:color w:val="auto"/>
          <w:szCs w:val="21"/>
          <w:highlight w:val="none"/>
        </w:rPr>
        <w:t>包人通过监理人向承包人提供测量基准点、基准线和水准点及其书面资料的期限：</w:t>
      </w:r>
      <w:r>
        <w:rPr>
          <w:rFonts w:hint="eastAsia" w:ascii="宋体" w:hAnsi="宋体"/>
          <w:color w:val="auto"/>
          <w:szCs w:val="21"/>
          <w:highlight w:val="none"/>
          <w:u w:val="single"/>
        </w:rPr>
        <w:t>开工前7天内</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7</w:t>
      </w:r>
      <w:bookmarkStart w:id="172" w:name="_Toc304295546"/>
      <w:bookmarkStart w:id="173" w:name="_Toc312678010"/>
      <w:bookmarkStart w:id="174" w:name="_Toc303539125"/>
      <w:bookmarkStart w:id="175" w:name="_Toc297216175"/>
      <w:bookmarkStart w:id="176" w:name="_Toc300934968"/>
      <w:bookmarkStart w:id="177" w:name="_Toc297123516"/>
      <w:bookmarkStart w:id="178" w:name="_Toc312677484"/>
      <w:r>
        <w:rPr>
          <w:rFonts w:ascii="宋体" w:hAnsi="宋体"/>
          <w:color w:val="auto"/>
          <w:kern w:val="0"/>
          <w:szCs w:val="21"/>
          <w:highlight w:val="none"/>
        </w:rPr>
        <w:t>.5工期延误</w:t>
      </w:r>
    </w:p>
    <w:bookmarkEnd w:id="172"/>
    <w:bookmarkEnd w:id="173"/>
    <w:bookmarkEnd w:id="174"/>
    <w:bookmarkEnd w:id="175"/>
    <w:bookmarkEnd w:id="176"/>
    <w:bookmarkEnd w:id="177"/>
    <w:bookmarkEnd w:id="178"/>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7.5.1因</w:t>
      </w:r>
      <w:r>
        <w:rPr>
          <w:rFonts w:ascii="宋体" w:hAnsi="宋体"/>
          <w:color w:val="auto"/>
          <w:szCs w:val="21"/>
          <w:highlight w:val="none"/>
        </w:rPr>
        <w:t>发包人原因导致工期延误</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（7）因发包人原因导致工期延误的其他情形：</w:t>
      </w:r>
      <w:r>
        <w:rPr>
          <w:rFonts w:hint="eastAsia" w:ascii="宋体" w:hAnsi="宋体"/>
          <w:color w:val="auto"/>
          <w:szCs w:val="21"/>
          <w:highlight w:val="none"/>
          <w:u w:val="single"/>
        </w:rPr>
        <w:t>因发包人原因导致工期延误的其他情形：1、经监理人、发包人确认的工程量变化和设计变更；2、一周内，非承包人原因停水、停电、停气造成停工累计超过 8 小时；3、不可抗力；4、合同中约定监理人、发包人同意给予顺延的其它情况</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7</w:t>
      </w:r>
      <w:bookmarkStart w:id="179" w:name="_Toc318581169"/>
      <w:bookmarkStart w:id="180" w:name="_Toc312677486"/>
      <w:bookmarkStart w:id="181" w:name="_Toc312678012"/>
      <w:bookmarkStart w:id="182" w:name="_Toc300934970"/>
      <w:bookmarkStart w:id="183" w:name="_Toc304295548"/>
      <w:bookmarkStart w:id="184" w:name="_Toc303539127"/>
      <w:bookmarkStart w:id="185" w:name="_Toc297216177"/>
      <w:bookmarkStart w:id="186" w:name="_Toc297123518"/>
      <w:r>
        <w:rPr>
          <w:rFonts w:ascii="宋体" w:hAnsi="宋体"/>
          <w:color w:val="auto"/>
          <w:szCs w:val="21"/>
          <w:highlight w:val="none"/>
        </w:rPr>
        <w:t>.5.2因承包人原因导致工期延误</w:t>
      </w:r>
    </w:p>
    <w:bookmarkEnd w:id="179"/>
    <w:bookmarkEnd w:id="180"/>
    <w:bookmarkEnd w:id="181"/>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因</w:t>
      </w:r>
      <w:bookmarkStart w:id="187" w:name="_Toc312678013"/>
      <w:bookmarkStart w:id="188" w:name="_Toc312677487"/>
      <w:bookmarkStart w:id="189" w:name="_Toc318581170"/>
      <w:r>
        <w:rPr>
          <w:rFonts w:ascii="宋体" w:hAnsi="宋体"/>
          <w:color w:val="auto"/>
          <w:szCs w:val="21"/>
          <w:highlight w:val="none"/>
        </w:rPr>
        <w:t>承包人原因造成工期延误，逾期竣工违约金的计算方法为：</w:t>
      </w:r>
      <w:r>
        <w:rPr>
          <w:rFonts w:hint="eastAsia" w:ascii="宋体" w:hAnsi="宋体"/>
          <w:color w:val="auto"/>
          <w:szCs w:val="21"/>
          <w:highlight w:val="none"/>
          <w:u w:val="single"/>
        </w:rPr>
        <w:t>超过合同规定的竣工日期的，发包人按2000元/天在当月的工程进度款或竣工结算中扣罚</w:t>
      </w:r>
      <w:r>
        <w:rPr>
          <w:rFonts w:ascii="宋体" w:hAnsi="宋体"/>
          <w:color w:val="auto"/>
          <w:szCs w:val="21"/>
          <w:highlight w:val="none"/>
        </w:rPr>
        <w:t>。</w:t>
      </w:r>
      <w:bookmarkEnd w:id="182"/>
      <w:bookmarkEnd w:id="183"/>
      <w:bookmarkEnd w:id="184"/>
      <w:bookmarkEnd w:id="185"/>
      <w:bookmarkEnd w:id="186"/>
      <w:bookmarkEnd w:id="187"/>
      <w:bookmarkEnd w:id="188"/>
    </w:p>
    <w:bookmarkEnd w:id="189"/>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因承包人原因造成工期延误，逾</w:t>
      </w:r>
      <w:bookmarkStart w:id="190" w:name="_Toc318581171"/>
      <w:bookmarkStart w:id="191" w:name="_Toc312678014"/>
      <w:r>
        <w:rPr>
          <w:rFonts w:ascii="宋体" w:hAnsi="宋体"/>
          <w:color w:val="auto"/>
          <w:szCs w:val="21"/>
          <w:highlight w:val="none"/>
        </w:rPr>
        <w:t>期竣工违约金的上限：</w:t>
      </w:r>
      <w:r>
        <w:rPr>
          <w:rFonts w:hint="eastAsia" w:ascii="宋体" w:hAnsi="宋体"/>
          <w:color w:val="auto"/>
          <w:szCs w:val="21"/>
          <w:highlight w:val="none"/>
          <w:u w:val="single"/>
        </w:rPr>
        <w:t>合同价的3％</w:t>
      </w:r>
      <w:r>
        <w:rPr>
          <w:rFonts w:ascii="宋体" w:hAnsi="宋体"/>
          <w:color w:val="auto"/>
          <w:szCs w:val="21"/>
          <w:highlight w:val="none"/>
        </w:rPr>
        <w:t>。</w:t>
      </w:r>
    </w:p>
    <w:bookmarkEnd w:id="190"/>
    <w:bookmarkEnd w:id="191"/>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7</w:t>
      </w:r>
      <w:bookmarkStart w:id="192" w:name="_Toc297123519"/>
      <w:bookmarkStart w:id="193" w:name="_Toc312678015"/>
      <w:bookmarkStart w:id="194" w:name="_Toc300934971"/>
      <w:bookmarkStart w:id="195" w:name="_Toc297216178"/>
      <w:bookmarkStart w:id="196" w:name="_Toc303539128"/>
      <w:bookmarkStart w:id="197" w:name="_Toc304295549"/>
      <w:r>
        <w:rPr>
          <w:rFonts w:ascii="宋体" w:hAnsi="宋体"/>
          <w:color w:val="auto"/>
          <w:kern w:val="0"/>
          <w:szCs w:val="21"/>
          <w:highlight w:val="none"/>
        </w:rPr>
        <w:t>.6不</w:t>
      </w:r>
      <w:bookmarkEnd w:id="192"/>
      <w:bookmarkEnd w:id="193"/>
      <w:bookmarkEnd w:id="194"/>
      <w:bookmarkEnd w:id="195"/>
      <w:bookmarkEnd w:id="196"/>
      <w:bookmarkEnd w:id="197"/>
      <w:r>
        <w:rPr>
          <w:rFonts w:ascii="宋体" w:hAnsi="宋体"/>
          <w:color w:val="auto"/>
          <w:kern w:val="0"/>
          <w:szCs w:val="21"/>
          <w:highlight w:val="none"/>
        </w:rPr>
        <w:t>利物质条件</w:t>
      </w:r>
    </w:p>
    <w:p>
      <w:pPr>
        <w:spacing w:line="400" w:lineRule="exact"/>
        <w:ind w:firstLine="440" w:firstLineChars="200"/>
        <w:rPr>
          <w:rFonts w:ascii="宋体" w:hAnsi="宋体"/>
          <w:color w:val="auto"/>
          <w:szCs w:val="21"/>
          <w:highlight w:val="none"/>
          <w:u w:val="single"/>
        </w:rPr>
      </w:pPr>
      <w:bookmarkStart w:id="198" w:name="_Toc303539129"/>
      <w:bookmarkStart w:id="199" w:name="_Toc304295550"/>
      <w:bookmarkStart w:id="200" w:name="_Toc297123520"/>
      <w:bookmarkStart w:id="201" w:name="_Toc297216179"/>
      <w:bookmarkStart w:id="202" w:name="_Toc300934972"/>
      <w:bookmarkStart w:id="203" w:name="_Toc318581172"/>
      <w:bookmarkStart w:id="204" w:name="_Toc312678016"/>
      <w:r>
        <w:rPr>
          <w:rFonts w:ascii="宋体" w:hAnsi="宋体"/>
          <w:color w:val="auto"/>
          <w:kern w:val="0"/>
          <w:szCs w:val="21"/>
          <w:highlight w:val="none"/>
        </w:rPr>
        <w:t>不利物质</w:t>
      </w:r>
      <w:r>
        <w:rPr>
          <w:rFonts w:ascii="宋体" w:hAnsi="宋体"/>
          <w:color w:val="auto"/>
          <w:szCs w:val="21"/>
          <w:highlight w:val="none"/>
        </w:rPr>
        <w:t>条件的其他情形和有关约定：</w:t>
      </w:r>
      <w:r>
        <w:rPr>
          <w:rFonts w:hint="eastAsia" w:ascii="宋体" w:hAnsi="宋体"/>
          <w:color w:val="auto"/>
          <w:szCs w:val="21"/>
          <w:highlight w:val="none"/>
          <w:u w:val="single"/>
        </w:rPr>
        <w:t xml:space="preserve">  /</w:t>
      </w:r>
      <w:r>
        <w:rPr>
          <w:rFonts w:ascii="宋体" w:hAnsi="宋体"/>
          <w:color w:val="auto"/>
          <w:szCs w:val="21"/>
          <w:highlight w:val="none"/>
        </w:rPr>
        <w:t>。</w:t>
      </w:r>
    </w:p>
    <w:bookmarkEnd w:id="198"/>
    <w:bookmarkEnd w:id="199"/>
    <w:bookmarkEnd w:id="200"/>
    <w:bookmarkEnd w:id="201"/>
    <w:bookmarkEnd w:id="202"/>
    <w:bookmarkEnd w:id="203"/>
    <w:bookmarkEnd w:id="204"/>
    <w:p>
      <w:pPr>
        <w:spacing w:after="120" w:line="400" w:lineRule="exact"/>
        <w:ind w:firstLine="440" w:firstLineChars="200"/>
        <w:rPr>
          <w:rFonts w:ascii="宋体" w:hAnsi="宋体"/>
          <w:color w:val="auto"/>
          <w:szCs w:val="21"/>
          <w:highlight w:val="none"/>
        </w:rPr>
      </w:pPr>
      <w:r>
        <w:rPr>
          <w:rFonts w:ascii="宋体" w:hAnsi="宋体"/>
          <w:color w:val="auto"/>
          <w:szCs w:val="21"/>
          <w:highlight w:val="none"/>
        </w:rPr>
        <w:t>7</w:t>
      </w:r>
      <w:bookmarkStart w:id="205" w:name="_Toc297216180"/>
      <w:bookmarkStart w:id="206" w:name="_Toc312678017"/>
      <w:bookmarkStart w:id="207" w:name="_Toc300934973"/>
      <w:bookmarkStart w:id="208" w:name="_Toc297123521"/>
      <w:bookmarkStart w:id="209" w:name="_Toc304295551"/>
      <w:bookmarkStart w:id="210" w:name="_Toc303539130"/>
      <w:r>
        <w:rPr>
          <w:rFonts w:ascii="宋体" w:hAnsi="宋体"/>
          <w:color w:val="auto"/>
          <w:szCs w:val="21"/>
          <w:highlight w:val="none"/>
        </w:rPr>
        <w:t>.7异常恶劣的气候条件</w:t>
      </w:r>
    </w:p>
    <w:bookmarkEnd w:id="205"/>
    <w:bookmarkEnd w:id="206"/>
    <w:bookmarkEnd w:id="207"/>
    <w:bookmarkEnd w:id="208"/>
    <w:bookmarkEnd w:id="209"/>
    <w:bookmarkEnd w:id="210"/>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211" w:name="_Toc500157611"/>
      <w:r>
        <w:rPr>
          <w:rFonts w:ascii="宋体" w:hAnsi="宋体"/>
          <w:color w:val="auto"/>
          <w:kern w:val="0"/>
          <w:szCs w:val="21"/>
          <w:highlight w:val="none"/>
        </w:rPr>
        <w:t>7.9提前竣工的奖励</w:t>
      </w:r>
      <w:bookmarkEnd w:id="211"/>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7.9.2提前竣工的奖励：</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bookmarkStart w:id="212" w:name="_Toc500157612"/>
      <w:r>
        <w:rPr>
          <w:rFonts w:ascii="宋体" w:hAnsi="宋体"/>
          <w:color w:val="auto"/>
          <w:kern w:val="0"/>
          <w:szCs w:val="21"/>
          <w:highlight w:val="none"/>
        </w:rPr>
        <w:t>8.材料与设备</w:t>
      </w:r>
      <w:bookmarkEnd w:id="212"/>
    </w:p>
    <w:bookmarkEnd w:id="144"/>
    <w:bookmarkEnd w:id="145"/>
    <w:bookmarkEnd w:id="146"/>
    <w:bookmarkEnd w:id="147"/>
    <w:bookmarkEnd w:id="148"/>
    <w:bookmarkEnd w:id="149"/>
    <w:bookmarkEnd w:id="150"/>
    <w:bookmarkEnd w:id="151"/>
    <w:bookmarkEnd w:id="152"/>
    <w:bookmarkEnd w:id="153"/>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8</w:t>
      </w:r>
      <w:bookmarkStart w:id="213" w:name="_Toc296944506"/>
      <w:bookmarkStart w:id="214" w:name="_Toc297048353"/>
      <w:bookmarkStart w:id="215" w:name="_Toc312678019"/>
      <w:bookmarkStart w:id="216" w:name="_Toc297216186"/>
      <w:bookmarkStart w:id="217" w:name="_Toc297123527"/>
      <w:bookmarkStart w:id="218" w:name="_Toc297120467"/>
      <w:bookmarkStart w:id="219" w:name="_Toc292559372"/>
      <w:bookmarkStart w:id="220" w:name="_Toc300934979"/>
      <w:bookmarkStart w:id="221" w:name="_Toc296890995"/>
      <w:bookmarkStart w:id="222" w:name="_Toc296347166"/>
      <w:bookmarkStart w:id="223" w:name="_Toc303539136"/>
      <w:bookmarkStart w:id="224" w:name="_Toc296346668"/>
      <w:bookmarkStart w:id="225" w:name="_Toc280868654"/>
      <w:bookmarkStart w:id="226" w:name="_Toc304295556"/>
      <w:bookmarkStart w:id="227" w:name="_Toc296891207"/>
      <w:bookmarkStart w:id="228" w:name="_Toc312677493"/>
      <w:bookmarkStart w:id="229" w:name="_Toc296503167"/>
      <w:bookmarkStart w:id="230" w:name="_Toc292559877"/>
      <w:bookmarkStart w:id="231" w:name="_Toc280868655"/>
      <w:bookmarkStart w:id="232" w:name="_Toc267251424"/>
      <w:bookmarkStart w:id="233" w:name="_Toc280868656"/>
      <w:r>
        <w:rPr>
          <w:rFonts w:ascii="宋体" w:hAnsi="宋体"/>
          <w:color w:val="auto"/>
          <w:kern w:val="0"/>
          <w:szCs w:val="21"/>
          <w:highlight w:val="none"/>
        </w:rPr>
        <w:t>.4材料与工程设备的保管与使用</w:t>
      </w:r>
    </w:p>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8</w:t>
      </w:r>
      <w:bookmarkStart w:id="234" w:name="_Toc292559878"/>
      <w:bookmarkStart w:id="235" w:name="_Toc292559373"/>
      <w:bookmarkStart w:id="236" w:name="_Toc296891208"/>
      <w:bookmarkStart w:id="237" w:name="_Toc297123528"/>
      <w:bookmarkStart w:id="238" w:name="_Toc296503168"/>
      <w:bookmarkStart w:id="239" w:name="_Toc297048354"/>
      <w:bookmarkStart w:id="240" w:name="_Toc296944507"/>
      <w:bookmarkStart w:id="241" w:name="_Toc304295557"/>
      <w:bookmarkStart w:id="242" w:name="_Toc297120468"/>
      <w:bookmarkStart w:id="243" w:name="_Toc312678020"/>
      <w:bookmarkStart w:id="244" w:name="_Toc296890996"/>
      <w:bookmarkStart w:id="245" w:name="_Toc296346669"/>
      <w:bookmarkStart w:id="246" w:name="_Toc296347167"/>
      <w:bookmarkStart w:id="247" w:name="_Toc297216187"/>
      <w:bookmarkStart w:id="248" w:name="_Toc303539137"/>
      <w:bookmarkStart w:id="249" w:name="_Toc318581173"/>
      <w:bookmarkStart w:id="250" w:name="_Toc300934980"/>
      <w:bookmarkStart w:id="251" w:name="_Toc312677494"/>
      <w:r>
        <w:rPr>
          <w:rFonts w:ascii="宋体" w:hAnsi="宋体"/>
          <w:color w:val="auto"/>
          <w:kern w:val="0"/>
          <w:szCs w:val="21"/>
          <w:highlight w:val="none"/>
        </w:rPr>
        <w:t>.4.1发包人供应的材料设备的保管费用的承</w:t>
      </w:r>
      <w:r>
        <w:rPr>
          <w:rFonts w:ascii="宋体" w:hAnsi="宋体"/>
          <w:color w:val="auto"/>
          <w:szCs w:val="21"/>
          <w:highlight w:val="none"/>
        </w:rPr>
        <w:t>担：</w:t>
      </w:r>
      <w:r>
        <w:rPr>
          <w:rFonts w:hint="eastAsia" w:ascii="宋体" w:hAnsi="宋体"/>
          <w:color w:val="auto"/>
          <w:szCs w:val="21"/>
          <w:highlight w:val="none"/>
          <w:u w:val="single"/>
        </w:rPr>
        <w:t>由承包人承担</w:t>
      </w:r>
      <w:r>
        <w:rPr>
          <w:rFonts w:ascii="宋体" w:hAnsi="宋体"/>
          <w:color w:val="auto"/>
          <w:szCs w:val="21"/>
          <w:highlight w:val="none"/>
        </w:rPr>
        <w:t>。</w:t>
      </w:r>
      <w:bookmarkEnd w:id="234"/>
      <w:bookmarkEnd w:id="235"/>
    </w:p>
    <w:p>
      <w:pPr>
        <w:spacing w:line="400" w:lineRule="exact"/>
        <w:ind w:firstLine="440" w:firstLineChars="200"/>
        <w:rPr>
          <w:rFonts w:ascii="宋体" w:hAnsi="宋体"/>
          <w:color w:val="auto"/>
          <w:kern w:val="0"/>
          <w:szCs w:val="21"/>
          <w:highlight w:val="none"/>
        </w:rPr>
      </w:pPr>
      <w:bookmarkStart w:id="252" w:name="_Toc500157613"/>
      <w:r>
        <w:rPr>
          <w:rFonts w:ascii="宋体" w:hAnsi="宋体"/>
          <w:color w:val="auto"/>
          <w:kern w:val="0"/>
          <w:szCs w:val="21"/>
          <w:highlight w:val="none"/>
        </w:rPr>
        <w:t>8.6样品</w:t>
      </w:r>
      <w:bookmarkEnd w:id="252"/>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8.6.1样品的报送</w:t>
      </w:r>
      <w:r>
        <w:rPr>
          <w:rFonts w:hint="eastAsia" w:ascii="宋体" w:hAnsi="宋体"/>
          <w:color w:val="auto"/>
          <w:kern w:val="0"/>
          <w:szCs w:val="21"/>
          <w:highlight w:val="none"/>
        </w:rPr>
        <w:t>与封存</w:t>
      </w:r>
    </w:p>
    <w:p>
      <w:pPr>
        <w:autoSpaceDE w:val="0"/>
        <w:autoSpaceDN w:val="0"/>
        <w:adjustRightInd w:val="0"/>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需要承包人报送样品的材料或工程设备，样品的种类、名称、规格、数量要求：</w:t>
      </w:r>
    </w:p>
    <w:p>
      <w:pPr>
        <w:autoSpaceDE w:val="0"/>
        <w:autoSpaceDN w:val="0"/>
        <w:adjustRightInd w:val="0"/>
        <w:spacing w:line="400" w:lineRule="exact"/>
        <w:ind w:firstLine="44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对所有合同规定的由承包人自主采购的材料或设备，采购前承包人应将供应商的相关资料报送监理工程师和建设单位审查，当监理工程师或建设单位认为有必要对供应商进行实地考察时，承包人应提供必要的协助及相关考察费用；</w:t>
      </w:r>
    </w:p>
    <w:p>
      <w:pPr>
        <w:autoSpaceDE w:val="0"/>
        <w:autoSpaceDN w:val="0"/>
        <w:adjustRightInd w:val="0"/>
        <w:spacing w:line="400" w:lineRule="exact"/>
        <w:ind w:firstLine="44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2）所有用于本工程的材料和设备进场以前，承包人必须向监理工程师提交生产厂商出具的生产许可证、质量合格证和检验报告，以证明该材料或设备质量符合本合同或技术规范的规定。在质量和性能均应符合国家标准和设计要求，并经发包方委托的监理工程师验收合格后方能进场，供货还必须满足施工进度要求，否则发包人有权自行采购。</w:t>
      </w:r>
    </w:p>
    <w:p>
      <w:pPr>
        <w:autoSpaceDE w:val="0"/>
        <w:autoSpaceDN w:val="0"/>
        <w:adjustRightInd w:val="0"/>
        <w:spacing w:line="400" w:lineRule="exact"/>
        <w:ind w:firstLine="44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3）承包人应按监理工程师和发包人的指令随时配合对施工现场材料或设备的检验，并应为监理工程师对材料或设备的检验提供一切必要的协助，在材料用于工程之前，承包人应按监理工程师的要求提供材料样品，材料应按先送检通过、后采用的原则进行使用。</w:t>
      </w:r>
    </w:p>
    <w:p>
      <w:pPr>
        <w:autoSpaceDE w:val="0"/>
        <w:autoSpaceDN w:val="0"/>
        <w:adjustRightInd w:val="0"/>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4）单位工程使用钢材品牌不得多于两个</w:t>
      </w:r>
      <w:r>
        <w:rPr>
          <w:rFonts w:ascii="宋体" w:hAnsi="宋体"/>
          <w:color w:val="auto"/>
          <w:szCs w:val="21"/>
          <w:highlight w:val="none"/>
          <w:u w:val="single"/>
        </w:rPr>
        <w:t>。</w:t>
      </w:r>
    </w:p>
    <w:p>
      <w:pPr>
        <w:spacing w:line="400" w:lineRule="exact"/>
        <w:ind w:firstLine="440" w:firstLineChars="200"/>
        <w:rPr>
          <w:rFonts w:ascii="宋体" w:hAnsi="宋体"/>
          <w:color w:val="auto"/>
          <w:kern w:val="0"/>
          <w:szCs w:val="21"/>
          <w:highlight w:val="none"/>
        </w:rPr>
      </w:pPr>
      <w:bookmarkStart w:id="253" w:name="_Toc500157614"/>
      <w:r>
        <w:rPr>
          <w:rFonts w:ascii="宋体" w:hAnsi="宋体"/>
          <w:color w:val="auto"/>
          <w:kern w:val="0"/>
          <w:szCs w:val="21"/>
          <w:highlight w:val="none"/>
        </w:rPr>
        <w:t>8.8施工设备和临时设施</w:t>
      </w:r>
      <w:bookmarkEnd w:id="253"/>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8.8.1</w:t>
      </w:r>
      <w:r>
        <w:rPr>
          <w:rFonts w:ascii="宋体" w:hAnsi="宋体"/>
          <w:color w:val="auto"/>
          <w:szCs w:val="21"/>
          <w:highlight w:val="none"/>
        </w:rPr>
        <w:t>承包人提供的施工设备和临时设施</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关于修建临时设施费用承担的约定：</w:t>
      </w:r>
      <w:r>
        <w:rPr>
          <w:rFonts w:hint="eastAsia" w:ascii="宋体" w:hAnsi="宋体"/>
          <w:color w:val="auto"/>
          <w:kern w:val="0"/>
          <w:szCs w:val="21"/>
          <w:highlight w:val="none"/>
          <w:u w:val="single"/>
        </w:rPr>
        <w:t>由承包人承担</w:t>
      </w:r>
      <w:r>
        <w:rPr>
          <w:rFonts w:ascii="宋体" w:hAnsi="宋体"/>
          <w:color w:val="auto"/>
          <w:kern w:val="0"/>
          <w:szCs w:val="21"/>
          <w:highlight w:val="none"/>
        </w:rPr>
        <w:t>。</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Pr>
        <w:spacing w:line="400" w:lineRule="exact"/>
        <w:ind w:firstLine="440" w:firstLineChars="200"/>
        <w:rPr>
          <w:rFonts w:ascii="宋体" w:hAnsi="宋体"/>
          <w:color w:val="auto"/>
          <w:kern w:val="0"/>
          <w:szCs w:val="21"/>
          <w:highlight w:val="none"/>
        </w:rPr>
      </w:pPr>
      <w:bookmarkStart w:id="254" w:name="_Toc500157615"/>
      <w:r>
        <w:rPr>
          <w:rFonts w:ascii="宋体" w:hAnsi="宋体"/>
          <w:color w:val="auto"/>
          <w:kern w:val="0"/>
          <w:szCs w:val="21"/>
          <w:highlight w:val="none"/>
        </w:rPr>
        <w:t>9</w:t>
      </w:r>
      <w:bookmarkEnd w:id="231"/>
      <w:bookmarkEnd w:id="232"/>
      <w:bookmarkEnd w:id="233"/>
      <w:bookmarkStart w:id="255" w:name="_Toc312678021"/>
      <w:bookmarkStart w:id="256" w:name="_Toc297216192"/>
      <w:bookmarkStart w:id="257" w:name="_Toc300934982"/>
      <w:bookmarkStart w:id="258" w:name="_Toc304295559"/>
      <w:bookmarkStart w:id="259" w:name="_Toc303539139"/>
      <w:bookmarkStart w:id="260" w:name="_Toc312677495"/>
      <w:bookmarkStart w:id="261" w:name="_Toc297123533"/>
      <w:bookmarkStart w:id="262" w:name="_Toc297120473"/>
      <w:bookmarkStart w:id="263" w:name="_Toc296346674"/>
      <w:bookmarkStart w:id="264" w:name="_Toc296944512"/>
      <w:bookmarkStart w:id="265" w:name="_Toc292559378"/>
      <w:bookmarkStart w:id="266" w:name="_Toc267251428"/>
      <w:bookmarkStart w:id="267" w:name="_Toc296891213"/>
      <w:bookmarkStart w:id="268" w:name="_Toc296503173"/>
      <w:bookmarkStart w:id="269" w:name="_Toc267251427"/>
      <w:bookmarkStart w:id="270" w:name="_Toc297048359"/>
      <w:bookmarkStart w:id="271" w:name="_Toc296347172"/>
      <w:bookmarkStart w:id="272" w:name="_Toc292559883"/>
      <w:bookmarkStart w:id="273" w:name="_Toc296891001"/>
      <w:r>
        <w:rPr>
          <w:rFonts w:ascii="宋体" w:hAnsi="宋体"/>
          <w:color w:val="auto"/>
          <w:kern w:val="0"/>
          <w:szCs w:val="21"/>
          <w:highlight w:val="none"/>
        </w:rPr>
        <w:t>.试验与检验</w:t>
      </w:r>
      <w:bookmarkEnd w:id="254"/>
    </w:p>
    <w:bookmarkEnd w:id="255"/>
    <w:bookmarkEnd w:id="256"/>
    <w:bookmarkEnd w:id="257"/>
    <w:bookmarkEnd w:id="258"/>
    <w:bookmarkEnd w:id="259"/>
    <w:bookmarkEnd w:id="260"/>
    <w:bookmarkEnd w:id="261"/>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9</w:t>
      </w:r>
      <w:bookmarkStart w:id="274" w:name="_Toc297216193"/>
      <w:bookmarkStart w:id="275" w:name="_Toc300934983"/>
      <w:bookmarkStart w:id="276" w:name="_Toc304295560"/>
      <w:bookmarkStart w:id="277" w:name="_Toc303539140"/>
      <w:bookmarkStart w:id="278" w:name="_Toc312678022"/>
      <w:bookmarkStart w:id="279" w:name="_Toc297123534"/>
      <w:bookmarkStart w:id="280" w:name="_Toc312677496"/>
      <w:r>
        <w:rPr>
          <w:rFonts w:ascii="宋体" w:hAnsi="宋体"/>
          <w:color w:val="auto"/>
          <w:kern w:val="0"/>
          <w:szCs w:val="21"/>
          <w:highlight w:val="none"/>
        </w:rPr>
        <w:t>.1试验设备与试验人员</w:t>
      </w:r>
    </w:p>
    <w:bookmarkEnd w:id="274"/>
    <w:bookmarkEnd w:id="275"/>
    <w:bookmarkEnd w:id="276"/>
    <w:bookmarkEnd w:id="277"/>
    <w:bookmarkEnd w:id="278"/>
    <w:bookmarkEnd w:id="279"/>
    <w:bookmarkEnd w:id="280"/>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9</w:t>
      </w:r>
      <w:bookmarkStart w:id="281" w:name="_Toc303539141"/>
      <w:bookmarkStart w:id="282" w:name="_Toc297216194"/>
      <w:bookmarkStart w:id="283" w:name="_Toc312677497"/>
      <w:bookmarkStart w:id="284" w:name="_Toc297123535"/>
      <w:bookmarkStart w:id="285" w:name="_Toc312678023"/>
      <w:bookmarkStart w:id="286" w:name="_Toc300934984"/>
      <w:bookmarkStart w:id="287" w:name="_Toc304295561"/>
      <w:bookmarkStart w:id="288" w:name="_Toc318581174"/>
      <w:r>
        <w:rPr>
          <w:rFonts w:ascii="宋体" w:hAnsi="宋体"/>
          <w:color w:val="auto"/>
          <w:kern w:val="0"/>
          <w:szCs w:val="21"/>
          <w:highlight w:val="none"/>
        </w:rPr>
        <w:t>.1.2试</w:t>
      </w:r>
      <w:r>
        <w:rPr>
          <w:rFonts w:ascii="宋体" w:hAnsi="宋体"/>
          <w:color w:val="auto"/>
          <w:szCs w:val="21"/>
          <w:highlight w:val="none"/>
        </w:rPr>
        <w:t>验设备</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施工现场需要配置的试验场所：</w:t>
      </w:r>
      <w:bookmarkEnd w:id="281"/>
      <w:bookmarkEnd w:id="282"/>
      <w:bookmarkEnd w:id="283"/>
      <w:bookmarkEnd w:id="284"/>
      <w:bookmarkEnd w:id="285"/>
      <w:bookmarkEnd w:id="286"/>
      <w:bookmarkEnd w:id="287"/>
      <w:bookmarkStart w:id="289" w:name="_Toc312677498"/>
      <w:bookmarkStart w:id="290" w:name="_Toc303539142"/>
      <w:bookmarkStart w:id="291" w:name="_Toc312678024"/>
      <w:bookmarkStart w:id="292" w:name="_Toc300934985"/>
      <w:bookmarkStart w:id="293" w:name="_Toc297123536"/>
      <w:bookmarkStart w:id="294" w:name="_Toc297216195"/>
      <w:bookmarkStart w:id="295" w:name="_Toc304295562"/>
      <w:r>
        <w:rPr>
          <w:rFonts w:hint="eastAsia" w:ascii="宋体" w:hAnsi="宋体"/>
          <w:color w:val="auto"/>
          <w:szCs w:val="21"/>
          <w:highlight w:val="none"/>
          <w:u w:val="single"/>
        </w:rPr>
        <w:t>要求承包人在施工组织设计中明确，在开工前报监理人认可</w:t>
      </w:r>
      <w:r>
        <w:rPr>
          <w:rFonts w:ascii="宋体" w:hAnsi="宋体"/>
          <w:color w:val="auto"/>
          <w:szCs w:val="21"/>
          <w:highlight w:val="none"/>
          <w:u w:val="singl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施工现场需要配备的试验设备：</w:t>
      </w:r>
      <w:r>
        <w:rPr>
          <w:rFonts w:hint="eastAsia" w:ascii="宋体" w:hAnsi="宋体"/>
          <w:color w:val="auto"/>
          <w:szCs w:val="21"/>
          <w:highlight w:val="none"/>
          <w:u w:val="single"/>
        </w:rPr>
        <w:t>要求承包人在施工组织设计中明确，在开工前报监理人认可</w:t>
      </w:r>
      <w:r>
        <w:rPr>
          <w:rFonts w:ascii="宋体" w:hAnsi="宋体"/>
          <w:color w:val="auto"/>
          <w:szCs w:val="21"/>
          <w:highlight w:val="none"/>
          <w:u w:val="singl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施工现场需要具备的其他试验条件：</w:t>
      </w:r>
      <w:r>
        <w:rPr>
          <w:rFonts w:hint="eastAsia" w:ascii="宋体" w:hAnsi="宋体"/>
          <w:color w:val="auto"/>
          <w:szCs w:val="21"/>
          <w:highlight w:val="none"/>
          <w:u w:val="single"/>
        </w:rPr>
        <w:t>如有，承包人、发包人双方再约定</w:t>
      </w:r>
      <w:r>
        <w:rPr>
          <w:rFonts w:ascii="宋体" w:hAnsi="宋体"/>
          <w:color w:val="auto"/>
          <w:szCs w:val="21"/>
          <w:highlight w:val="none"/>
          <w:u w:val="single"/>
        </w:rPr>
        <w:t>。</w:t>
      </w:r>
    </w:p>
    <w:p>
      <w:pPr>
        <w:spacing w:line="400" w:lineRule="exact"/>
        <w:ind w:firstLine="440" w:firstLineChars="200"/>
        <w:rPr>
          <w:rFonts w:ascii="宋体" w:hAnsi="宋体"/>
          <w:color w:val="auto"/>
          <w:kern w:val="0"/>
          <w:szCs w:val="21"/>
          <w:highlight w:val="none"/>
        </w:rPr>
      </w:pPr>
      <w:bookmarkStart w:id="296" w:name="_Toc500157616"/>
      <w:r>
        <w:rPr>
          <w:rFonts w:ascii="宋体" w:hAnsi="宋体"/>
          <w:color w:val="auto"/>
          <w:kern w:val="0"/>
          <w:szCs w:val="21"/>
          <w:highlight w:val="none"/>
        </w:rPr>
        <w:t>9.4现场工艺试验</w:t>
      </w:r>
      <w:bookmarkEnd w:id="296"/>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现场工艺试验的有关约定：</w:t>
      </w:r>
      <w:r>
        <w:rPr>
          <w:rFonts w:hint="eastAsia" w:ascii="宋体" w:hAnsi="宋体"/>
          <w:color w:val="auto"/>
          <w:kern w:val="0"/>
          <w:szCs w:val="21"/>
          <w:highlight w:val="none"/>
          <w:u w:val="single"/>
        </w:rPr>
        <w:t>如有，承包人、发包人双方再约定</w:t>
      </w:r>
      <w:r>
        <w:rPr>
          <w:rFonts w:ascii="宋体" w:hAnsi="宋体"/>
          <w:color w:val="auto"/>
          <w:kern w:val="0"/>
          <w:szCs w:val="21"/>
          <w:highlight w:val="none"/>
        </w:rPr>
        <w:t>。</w:t>
      </w:r>
    </w:p>
    <w:bookmarkEnd w:id="288"/>
    <w:bookmarkEnd w:id="289"/>
    <w:bookmarkEnd w:id="290"/>
    <w:bookmarkEnd w:id="291"/>
    <w:bookmarkEnd w:id="292"/>
    <w:bookmarkEnd w:id="293"/>
    <w:bookmarkEnd w:id="294"/>
    <w:bookmarkEnd w:id="295"/>
    <w:p>
      <w:pPr>
        <w:spacing w:line="400" w:lineRule="exact"/>
        <w:ind w:firstLine="440" w:firstLineChars="200"/>
        <w:rPr>
          <w:rFonts w:ascii="宋体" w:hAnsi="宋体"/>
          <w:color w:val="auto"/>
          <w:kern w:val="0"/>
          <w:szCs w:val="21"/>
          <w:highlight w:val="none"/>
        </w:rPr>
      </w:pPr>
      <w:bookmarkStart w:id="297" w:name="_Toc500157617"/>
      <w:r>
        <w:rPr>
          <w:rFonts w:ascii="宋体" w:hAnsi="宋体"/>
          <w:color w:val="auto"/>
          <w:kern w:val="0"/>
          <w:szCs w:val="21"/>
          <w:highlight w:val="none"/>
        </w:rPr>
        <w:t>1</w:t>
      </w:r>
      <w:bookmarkEnd w:id="262"/>
      <w:bookmarkEnd w:id="263"/>
      <w:bookmarkEnd w:id="264"/>
      <w:bookmarkEnd w:id="265"/>
      <w:bookmarkEnd w:id="266"/>
      <w:bookmarkEnd w:id="267"/>
      <w:bookmarkEnd w:id="268"/>
      <w:bookmarkEnd w:id="269"/>
      <w:bookmarkEnd w:id="270"/>
      <w:bookmarkEnd w:id="271"/>
      <w:bookmarkEnd w:id="272"/>
      <w:bookmarkEnd w:id="273"/>
      <w:bookmarkStart w:id="298" w:name="_Toc297120493"/>
      <w:bookmarkStart w:id="299" w:name="_Toc296891021"/>
      <w:bookmarkStart w:id="300" w:name="_Toc292559398"/>
      <w:bookmarkStart w:id="301" w:name="_Toc304295566"/>
      <w:bookmarkStart w:id="302" w:name="_Toc297216199"/>
      <w:bookmarkStart w:id="303" w:name="_Toc297048379"/>
      <w:bookmarkStart w:id="304" w:name="_Toc296891233"/>
      <w:bookmarkStart w:id="305" w:name="_Toc297123540"/>
      <w:bookmarkStart w:id="306" w:name="_Toc303539146"/>
      <w:bookmarkStart w:id="307" w:name="_Toc296944532"/>
      <w:bookmarkStart w:id="308" w:name="_Toc296346694"/>
      <w:bookmarkStart w:id="309" w:name="_Toc296347192"/>
      <w:bookmarkStart w:id="310" w:name="_Toc292559903"/>
      <w:bookmarkStart w:id="311" w:name="_Toc296503193"/>
      <w:bookmarkStart w:id="312" w:name="_Toc300934989"/>
      <w:bookmarkStart w:id="313" w:name="_Toc312677499"/>
      <w:bookmarkStart w:id="314" w:name="_Toc312678025"/>
      <w:bookmarkStart w:id="315" w:name="_Toc267251437"/>
      <w:bookmarkStart w:id="316" w:name="_Toc267251441"/>
      <w:bookmarkStart w:id="317" w:name="_Toc267251440"/>
      <w:bookmarkStart w:id="318" w:name="_Toc267251435"/>
      <w:bookmarkStart w:id="319" w:name="_Toc267251433"/>
      <w:bookmarkStart w:id="320" w:name="_Toc267251439"/>
      <w:bookmarkStart w:id="321" w:name="_Toc267251442"/>
      <w:r>
        <w:rPr>
          <w:rFonts w:ascii="宋体" w:hAnsi="宋体"/>
          <w:color w:val="auto"/>
          <w:kern w:val="0"/>
          <w:szCs w:val="21"/>
          <w:highlight w:val="none"/>
        </w:rPr>
        <w:t>0.变更</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bookmarkEnd w:id="313"/>
    <w:bookmarkEnd w:id="314"/>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w:t>
      </w:r>
      <w:bookmarkStart w:id="322" w:name="_Toc296347193"/>
      <w:bookmarkStart w:id="323" w:name="_Toc296346695"/>
      <w:bookmarkStart w:id="324" w:name="_Toc296503194"/>
      <w:bookmarkStart w:id="325" w:name="_Toc300934990"/>
      <w:bookmarkStart w:id="326" w:name="_Toc304295567"/>
      <w:bookmarkStart w:id="327" w:name="_Toc312677500"/>
      <w:bookmarkStart w:id="328" w:name="_Toc297048380"/>
      <w:bookmarkStart w:id="329" w:name="_Toc296891234"/>
      <w:bookmarkStart w:id="330" w:name="_Toc292559904"/>
      <w:bookmarkStart w:id="331" w:name="_Toc297123541"/>
      <w:bookmarkStart w:id="332" w:name="_Toc297216200"/>
      <w:bookmarkStart w:id="333" w:name="_Toc296891022"/>
      <w:bookmarkStart w:id="334" w:name="_Toc312678026"/>
      <w:bookmarkStart w:id="335" w:name="_Toc297120494"/>
      <w:bookmarkStart w:id="336" w:name="_Toc292559399"/>
      <w:bookmarkStart w:id="337" w:name="_Toc296944533"/>
      <w:bookmarkStart w:id="338" w:name="_Toc303539147"/>
      <w:r>
        <w:rPr>
          <w:rFonts w:ascii="宋体" w:hAnsi="宋体"/>
          <w:color w:val="auto"/>
          <w:kern w:val="0"/>
          <w:szCs w:val="21"/>
          <w:highlight w:val="none"/>
        </w:rPr>
        <w:t>0.1变更的范围</w:t>
      </w:r>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关于</w:t>
      </w:r>
      <w:r>
        <w:rPr>
          <w:rFonts w:ascii="宋体" w:hAnsi="宋体"/>
          <w:color w:val="auto"/>
          <w:szCs w:val="21"/>
          <w:highlight w:val="none"/>
        </w:rPr>
        <w:t>变更的范围的约定：</w:t>
      </w:r>
      <w:r>
        <w:rPr>
          <w:rFonts w:hint="eastAsia" w:ascii="宋体" w:hAnsi="宋体"/>
          <w:color w:val="auto"/>
          <w:szCs w:val="21"/>
          <w:highlight w:val="none"/>
          <w:u w:val="single"/>
        </w:rPr>
        <w:t>合同履行过程中发生以下情形的，应按照本条约定进行变更：（1）增加或减少合同中任何工作，或追加额外的工作；（2）取消合同中任何工作（分包项目除外）；（3）改变合同中任何工作的质量标准或其他特性；（4）改变工程的基线、标高、位置和尺寸；（5）双方同意的其他情况</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339" w:name="_Toc500157618"/>
      <w:r>
        <w:rPr>
          <w:rFonts w:ascii="宋体" w:hAnsi="宋体"/>
          <w:color w:val="auto"/>
          <w:kern w:val="0"/>
          <w:szCs w:val="21"/>
          <w:highlight w:val="none"/>
        </w:rPr>
        <w:t>10.4变更估价</w:t>
      </w:r>
      <w:bookmarkEnd w:id="339"/>
    </w:p>
    <w:p>
      <w:pPr>
        <w:spacing w:line="400" w:lineRule="exact"/>
        <w:ind w:firstLine="440" w:firstLineChars="200"/>
        <w:rPr>
          <w:rFonts w:ascii="宋体" w:hAnsi="宋体"/>
          <w:color w:val="auto"/>
          <w:szCs w:val="21"/>
          <w:highlight w:val="none"/>
        </w:rPr>
      </w:pPr>
      <w:r>
        <w:rPr>
          <w:rFonts w:hint="eastAsia" w:ascii="宋体" w:hAnsi="宋体"/>
          <w:color w:val="auto"/>
          <w:kern w:val="0"/>
          <w:szCs w:val="21"/>
          <w:highlight w:val="none"/>
        </w:rPr>
        <w:t>10.4.</w:t>
      </w:r>
      <w:r>
        <w:rPr>
          <w:rFonts w:hint="eastAsia" w:ascii="宋体" w:hAnsi="宋体"/>
          <w:color w:val="auto"/>
          <w:szCs w:val="21"/>
          <w:highlight w:val="none"/>
        </w:rPr>
        <w:t>1变更估价原则</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关于变更估价的约定：</w:t>
      </w:r>
      <w:r>
        <w:rPr>
          <w:rFonts w:hint="eastAsia" w:ascii="宋体" w:hAnsi="宋体"/>
          <w:color w:val="auto"/>
          <w:szCs w:val="21"/>
          <w:highlight w:val="none"/>
          <w:u w:val="single"/>
        </w:rPr>
        <w:t>因工程变更引起标价工程量清单项目或其工程数量发生变化时，应按下列规定调整：</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①合同中已有适用于变更工程的项目单价，按合同已有的项目单价确定变更价款；</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②合同中只有类似于变更工程的项目单价，可以参照类似项目单价确定变更价款；</w:t>
      </w:r>
    </w:p>
    <w:p>
      <w:pPr>
        <w:spacing w:line="400" w:lineRule="exact"/>
        <w:ind w:firstLine="44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③合同中没有使用或类似于变更工程的项目单价，由发包人和承包人根据工程变更资料、相应计量规则及计价办法、工程造价管理部门发布的参考信息价格、</w:t>
      </w:r>
      <w:r>
        <w:rPr>
          <w:rFonts w:hint="eastAsia" w:ascii="宋体" w:hAnsi="宋体" w:cs="宋体"/>
          <w:color w:val="auto"/>
          <w:kern w:val="0"/>
          <w:szCs w:val="21"/>
          <w:highlight w:val="none"/>
          <w:u w:val="single"/>
        </w:rPr>
        <w:t>《广东省建设工程计价依据（2018）》、《广东省房屋建筑与装饰工程综合定额（2018）》、《广东省通用安装工程综合定额（2018）》、《广东省市政工程综合定额（2018年）》、《广东省园林绿化工程综合定额（2018年）》及其他定额</w:t>
      </w:r>
      <w:r>
        <w:rPr>
          <w:rFonts w:hint="eastAsia" w:ascii="宋体" w:hAnsi="宋体"/>
          <w:color w:val="auto"/>
          <w:szCs w:val="21"/>
          <w:highlight w:val="none"/>
          <w:u w:val="single"/>
        </w:rPr>
        <w:t>等资料依据进行计价，并以相关职能部门审核为准；</w:t>
      </w:r>
    </w:p>
    <w:p>
      <w:pPr>
        <w:spacing w:line="400" w:lineRule="exact"/>
        <w:ind w:firstLine="44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（实施期间如有行政部门发布新的建设工程计价文件须执行的，则按新的建设工程计价文件须执行）。</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④</w:t>
      </w:r>
      <w:r>
        <w:rPr>
          <w:rFonts w:hint="eastAsia" w:ascii="宋体" w:hAnsi="宋体" w:cs="宋体"/>
          <w:color w:val="auto"/>
          <w:kern w:val="0"/>
          <w:szCs w:val="21"/>
          <w:highlight w:val="none"/>
          <w:u w:val="single"/>
        </w:rPr>
        <w:t>如果施工期主要材料价格与招标时相比变幅较大（材料、工程设备的涨幅超过招标时基准价 / ％以上的，施工机械使用费涨幅超过招标时基准价格 / ％以上的），物价变化引起合同价款的调整，按照本合同的专用条款“11.价格调整”要求执行</w:t>
      </w:r>
      <w:r>
        <w:rPr>
          <w:rFonts w:hint="eastAsia" w:ascii="宋体" w:hAnsi="宋体"/>
          <w:color w:val="auto"/>
          <w:szCs w:val="21"/>
          <w:highlight w:val="none"/>
          <w:u w:val="single"/>
        </w:rPr>
        <w:t>；</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⑤本工程所需的材料、机械台班价格首先参考实施阶段工程建设所在地的造价部门公布的季度材料信息价，其次参考《云浮市建设工程造价信息》计价，缺陷部分按市场询价，最终以双方签证确认为准；</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⑥绿色施工安全防护措施费、意外伤害保险、工程排污费、施工噪音排污费、防洪工程维护费、危险作业意外伤害保险费、税前工程造价、增值税销项税额按工程建设所在地有关规定执行；</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⑦税金：建筑业增值税税率为9％</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Start w:id="340" w:name="_Toc297216203"/>
      <w:bookmarkStart w:id="341" w:name="_Toc296503197"/>
      <w:bookmarkStart w:id="342" w:name="_Toc292559907"/>
      <w:bookmarkStart w:id="343" w:name="_Toc296891237"/>
      <w:bookmarkStart w:id="344" w:name="_Toc296346698"/>
      <w:bookmarkStart w:id="345" w:name="_Toc296891025"/>
      <w:bookmarkStart w:id="346" w:name="_Toc297120497"/>
      <w:bookmarkStart w:id="347" w:name="_Toc303539150"/>
      <w:bookmarkStart w:id="348" w:name="_Toc300934993"/>
      <w:bookmarkStart w:id="349" w:name="_Toc292559402"/>
      <w:bookmarkStart w:id="350" w:name="_Toc297048383"/>
      <w:bookmarkStart w:id="351" w:name="_Toc296944536"/>
      <w:bookmarkStart w:id="352" w:name="_Toc297123544"/>
      <w:bookmarkStart w:id="353" w:name="_Toc296347196"/>
      <w:bookmarkStart w:id="354" w:name="_Toc312678029"/>
      <w:bookmarkStart w:id="355" w:name="_Toc312677503"/>
      <w:bookmarkStart w:id="356" w:name="_Toc304295570"/>
      <w:r>
        <w:rPr>
          <w:rFonts w:ascii="宋体" w:hAnsi="宋体"/>
          <w:color w:val="auto"/>
          <w:kern w:val="0"/>
          <w:szCs w:val="21"/>
          <w:highlight w:val="none"/>
        </w:rPr>
        <w:t>0.5承</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7" w:name="_Toc296891031"/>
      <w:bookmarkStart w:id="358" w:name="_Toc296503203"/>
      <w:bookmarkStart w:id="359" w:name="_Toc303539151"/>
      <w:bookmarkStart w:id="360" w:name="_Toc297123545"/>
      <w:bookmarkStart w:id="361" w:name="_Toc296346704"/>
      <w:bookmarkStart w:id="362" w:name="_Toc297216204"/>
      <w:bookmarkStart w:id="363" w:name="_Toc296347202"/>
      <w:bookmarkStart w:id="364" w:name="_Toc292559913"/>
      <w:bookmarkStart w:id="365" w:name="_Toc296891243"/>
      <w:bookmarkStart w:id="366" w:name="_Toc297120503"/>
      <w:bookmarkStart w:id="367" w:name="_Toc297048389"/>
      <w:bookmarkStart w:id="368" w:name="_Toc300934994"/>
      <w:bookmarkStart w:id="369" w:name="_Toc296944542"/>
      <w:bookmarkStart w:id="370" w:name="_Toc292559408"/>
      <w:r>
        <w:rPr>
          <w:rFonts w:ascii="宋体" w:hAnsi="宋体"/>
          <w:color w:val="auto"/>
          <w:kern w:val="0"/>
          <w:szCs w:val="21"/>
          <w:highlight w:val="none"/>
        </w:rPr>
        <w:t>包人的合理化建议</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监理人审</w:t>
      </w:r>
      <w:r>
        <w:rPr>
          <w:rFonts w:ascii="宋体" w:hAnsi="宋体"/>
          <w:color w:val="auto"/>
          <w:szCs w:val="21"/>
          <w:highlight w:val="none"/>
        </w:rPr>
        <w:t>查承包人合理化建议的期限：</w:t>
      </w:r>
      <w:r>
        <w:rPr>
          <w:rFonts w:hint="eastAsia" w:ascii="宋体" w:hAnsi="宋体"/>
          <w:color w:val="auto"/>
          <w:szCs w:val="21"/>
          <w:highlight w:val="none"/>
          <w:u w:val="single"/>
        </w:rPr>
        <w:t xml:space="preserve"> 7天内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发包人审批承包人合理化建议的期限：</w:t>
      </w:r>
      <w:r>
        <w:rPr>
          <w:rFonts w:hint="eastAsia" w:ascii="宋体" w:hAnsi="宋体"/>
          <w:color w:val="auto"/>
          <w:szCs w:val="21"/>
          <w:highlight w:val="none"/>
          <w:u w:val="single"/>
        </w:rPr>
        <w:t xml:space="preserve"> 7天内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承</w:t>
      </w:r>
      <w:bookmarkStart w:id="371" w:name="_Toc296891244"/>
      <w:bookmarkStart w:id="372" w:name="_Toc296503204"/>
      <w:bookmarkStart w:id="373" w:name="_Toc303539152"/>
      <w:bookmarkStart w:id="374" w:name="_Toc292559914"/>
      <w:bookmarkStart w:id="375" w:name="_Toc312678030"/>
      <w:bookmarkStart w:id="376" w:name="_Toc297123546"/>
      <w:bookmarkStart w:id="377" w:name="_Toc296346705"/>
      <w:bookmarkStart w:id="378" w:name="_Toc312677504"/>
      <w:bookmarkStart w:id="379" w:name="_Toc296347203"/>
      <w:bookmarkStart w:id="380" w:name="_Toc296891032"/>
      <w:bookmarkStart w:id="381" w:name="_Toc318581175"/>
      <w:bookmarkStart w:id="382" w:name="_Toc300934995"/>
      <w:bookmarkStart w:id="383" w:name="_Toc297048390"/>
      <w:bookmarkStart w:id="384" w:name="_Toc292559409"/>
      <w:bookmarkStart w:id="385" w:name="_Toc304295571"/>
      <w:bookmarkStart w:id="386" w:name="_Toc296944543"/>
      <w:bookmarkStart w:id="387" w:name="_Toc297120504"/>
      <w:bookmarkStart w:id="388" w:name="_Toc297216205"/>
      <w:r>
        <w:rPr>
          <w:rFonts w:ascii="宋体" w:hAnsi="宋体"/>
          <w:color w:val="auto"/>
          <w:szCs w:val="21"/>
          <w:highlight w:val="none"/>
        </w:rPr>
        <w:t>包人提出的合理化建议降低了合同价格或者提高了工程经济效益的奖励的方法和金额为：</w:t>
      </w:r>
      <w:r>
        <w:rPr>
          <w:rFonts w:hint="eastAsia" w:ascii="宋体" w:hAnsi="宋体"/>
          <w:color w:val="auto"/>
          <w:szCs w:val="21"/>
          <w:highlight w:val="none"/>
          <w:u w:val="single"/>
        </w:rPr>
        <w:t xml:space="preserve">  /</w:t>
      </w:r>
      <w:r>
        <w:rPr>
          <w:rFonts w:ascii="宋体" w:hAnsi="宋体"/>
          <w:color w:val="auto"/>
          <w:szCs w:val="21"/>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spacing w:line="400" w:lineRule="exact"/>
        <w:ind w:firstLine="440" w:firstLineChars="200"/>
        <w:rPr>
          <w:rFonts w:ascii="宋体" w:hAnsi="宋体"/>
          <w:color w:val="auto"/>
          <w:kern w:val="0"/>
          <w:szCs w:val="21"/>
          <w:highlight w:val="none"/>
        </w:rPr>
      </w:pPr>
      <w:bookmarkStart w:id="389" w:name="_Toc500157619"/>
      <w:r>
        <w:rPr>
          <w:rFonts w:ascii="宋体" w:hAnsi="宋体"/>
          <w:color w:val="auto"/>
          <w:kern w:val="0"/>
          <w:szCs w:val="21"/>
          <w:highlight w:val="none"/>
        </w:rPr>
        <w:t>1</w:t>
      </w:r>
      <w:bookmarkStart w:id="390" w:name="_Toc296891027"/>
      <w:bookmarkStart w:id="391" w:name="_Toc297120499"/>
      <w:bookmarkStart w:id="392" w:name="_Toc312677507"/>
      <w:bookmarkStart w:id="393" w:name="_Toc304295574"/>
      <w:bookmarkStart w:id="394" w:name="_Toc296503199"/>
      <w:bookmarkStart w:id="395" w:name="_Toc296347198"/>
      <w:bookmarkStart w:id="396" w:name="_Toc312678033"/>
      <w:bookmarkStart w:id="397" w:name="_Toc296944538"/>
      <w:bookmarkStart w:id="398" w:name="_Toc292559404"/>
      <w:bookmarkStart w:id="399" w:name="_Toc300934997"/>
      <w:bookmarkStart w:id="400" w:name="_Toc296891239"/>
      <w:bookmarkStart w:id="401" w:name="_Toc297216207"/>
      <w:bookmarkStart w:id="402" w:name="_Toc297123548"/>
      <w:bookmarkStart w:id="403" w:name="_Toc292559909"/>
      <w:bookmarkStart w:id="404" w:name="_Toc303539154"/>
      <w:bookmarkStart w:id="405" w:name="_Toc297048385"/>
      <w:bookmarkStart w:id="406" w:name="_Toc296346700"/>
      <w:r>
        <w:rPr>
          <w:rFonts w:ascii="宋体" w:hAnsi="宋体"/>
          <w:color w:val="auto"/>
          <w:kern w:val="0"/>
          <w:szCs w:val="21"/>
          <w:highlight w:val="none"/>
        </w:rPr>
        <w:t>0.7暂估价</w:t>
      </w:r>
      <w:bookmarkEnd w:id="389"/>
    </w:p>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暂</w:t>
      </w:r>
      <w:bookmarkStart w:id="407" w:name="_Toc312678034"/>
      <w:bookmarkStart w:id="408" w:name="_Toc318581176"/>
      <w:bookmarkStart w:id="409" w:name="_Toc312677508"/>
      <w:r>
        <w:rPr>
          <w:rFonts w:ascii="宋体" w:hAnsi="宋体"/>
          <w:color w:val="auto"/>
          <w:kern w:val="0"/>
          <w:szCs w:val="21"/>
          <w:highlight w:val="none"/>
        </w:rPr>
        <w:t>估价材料和工程设备的明细</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bookmarkEnd w:id="407"/>
    <w:bookmarkEnd w:id="408"/>
    <w:bookmarkEnd w:id="409"/>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w:t>
      </w:r>
      <w:bookmarkStart w:id="410" w:name="_Toc312677509"/>
      <w:bookmarkStart w:id="411" w:name="_Toc312678035"/>
      <w:bookmarkStart w:id="412" w:name="_Toc318581177"/>
      <w:r>
        <w:rPr>
          <w:rFonts w:ascii="宋体" w:hAnsi="宋体"/>
          <w:color w:val="auto"/>
          <w:szCs w:val="21"/>
          <w:highlight w:val="none"/>
        </w:rPr>
        <w:t>0.7.1依法必须招标的暂估价项目</w:t>
      </w:r>
    </w:p>
    <w:bookmarkEnd w:id="410"/>
    <w:bookmarkEnd w:id="411"/>
    <w:bookmarkEnd w:id="412"/>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对于依法必须招标的暂估价项目的确认和批准采取</w:t>
      </w:r>
      <w:r>
        <w:rPr>
          <w:rFonts w:hint="eastAsia" w:ascii="宋体" w:hAnsi="宋体"/>
          <w:color w:val="auto"/>
          <w:szCs w:val="21"/>
          <w:highlight w:val="none"/>
        </w:rPr>
        <w:t>住房城乡建设部、国家工商行政管理总局制定的《建设工程施工合同（示范文本）》（GF-2017-0201）通用条款要求</w:t>
      </w:r>
      <w:r>
        <w:rPr>
          <w:rFonts w:ascii="宋体" w:hAnsi="宋体"/>
          <w:color w:val="auto"/>
          <w:szCs w:val="21"/>
          <w:highlight w:val="none"/>
        </w:rPr>
        <w:t>第</w:t>
      </w:r>
      <w:r>
        <w:rPr>
          <w:rFonts w:hint="eastAsia" w:ascii="宋体" w:hAnsi="宋体"/>
          <w:color w:val="auto"/>
          <w:szCs w:val="21"/>
          <w:highlight w:val="none"/>
          <w:u w:val="single"/>
        </w:rPr>
        <w:t xml:space="preserve"> 1 </w:t>
      </w:r>
      <w:r>
        <w:rPr>
          <w:rFonts w:ascii="宋体" w:hAnsi="宋体"/>
          <w:color w:val="auto"/>
          <w:szCs w:val="21"/>
          <w:highlight w:val="none"/>
        </w:rPr>
        <w:t>种方式确定。</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10.7.2不属于依法必须招标的暂估价项目</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对于不属于依法必须招标的暂估价项目的确认和批准采取</w:t>
      </w:r>
      <w:r>
        <w:rPr>
          <w:rFonts w:hint="eastAsia" w:ascii="宋体" w:hAnsi="宋体"/>
          <w:color w:val="auto"/>
          <w:szCs w:val="21"/>
          <w:highlight w:val="none"/>
        </w:rPr>
        <w:t>住房城乡建设部、国家工商行政管理总局制定的《建设工程施工合同（示范文本）》（GF-2017-0201）通用条款要求</w:t>
      </w:r>
      <w:r>
        <w:rPr>
          <w:rFonts w:ascii="宋体" w:hAnsi="宋体"/>
          <w:color w:val="auto"/>
          <w:szCs w:val="21"/>
          <w:highlight w:val="none"/>
        </w:rPr>
        <w:t>第</w:t>
      </w:r>
      <w:r>
        <w:rPr>
          <w:rFonts w:hint="eastAsia" w:ascii="宋体" w:hAnsi="宋体"/>
          <w:color w:val="auto"/>
          <w:szCs w:val="21"/>
          <w:highlight w:val="none"/>
          <w:u w:val="single"/>
        </w:rPr>
        <w:t xml:space="preserve"> 1 </w:t>
      </w:r>
      <w:r>
        <w:rPr>
          <w:rFonts w:ascii="宋体" w:hAnsi="宋体"/>
          <w:color w:val="auto"/>
          <w:szCs w:val="21"/>
          <w:highlight w:val="none"/>
        </w:rPr>
        <w:t>种方式确定。</w:t>
      </w:r>
    </w:p>
    <w:p>
      <w:pPr>
        <w:spacing w:line="400" w:lineRule="exact"/>
        <w:ind w:firstLine="440" w:firstLineChars="200"/>
        <w:jc w:val="left"/>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承包人直接实施的暂估价项目的约定：</w:t>
      </w:r>
      <w:r>
        <w:rPr>
          <w:rFonts w:hint="eastAsia" w:ascii="宋体" w:hAnsi="宋体"/>
          <w:color w:val="auto"/>
          <w:szCs w:val="21"/>
          <w:highlight w:val="none"/>
          <w:u w:val="single"/>
        </w:rPr>
        <w:t>承包人具备实施暂估价项目的资格和条件的，经发包人和承包人协商一致后，可由承包人自行实施暂估价项目，工程计价执行专用条款第10.4.1款相关约定，工程计量执行专用条款第12.3.1款相关约定</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10.8暂列金额</w:t>
      </w:r>
    </w:p>
    <w:p>
      <w:pPr>
        <w:spacing w:line="400" w:lineRule="exact"/>
        <w:ind w:firstLine="440" w:firstLineChars="200"/>
        <w:rPr>
          <w:rFonts w:ascii="宋体" w:hAnsi="宋体"/>
          <w:color w:val="auto"/>
          <w:kern w:val="0"/>
          <w:szCs w:val="21"/>
          <w:highlight w:val="none"/>
        </w:rPr>
      </w:pPr>
      <w:r>
        <w:rPr>
          <w:rFonts w:hint="eastAsia" w:ascii="宋体" w:hAnsi="宋体"/>
          <w:color w:val="auto"/>
          <w:kern w:val="0"/>
          <w:szCs w:val="21"/>
          <w:highlight w:val="none"/>
        </w:rPr>
        <w:t>合同当事人关于暂列金额使用的约定：</w:t>
      </w:r>
      <w:r>
        <w:rPr>
          <w:rFonts w:hint="eastAsia" w:ascii="宋体" w:hAnsi="宋体"/>
          <w:color w:val="auto"/>
          <w:szCs w:val="21"/>
          <w:highlight w:val="none"/>
          <w:u w:val="single"/>
        </w:rPr>
        <w:t>工程量清单中开列的已标价的暂列金额是用于实施合同工程的任一增加部分，或用于提供不可预见的货物、材料和工程设备，或用于工程变更等因素发生的工程价款调增，以及经确认的索赔、现场签证，或用于提供相关服务或意外事件的一笔款项。经发包人批准后，监理工程师应就承包人规定的工作发出书面指令。造价工程师就此项指令提出所需价款，经发包人确认后向承包人支付。造价工程师有要求时，承</w:t>
      </w:r>
      <w:r>
        <w:rPr>
          <w:rFonts w:hint="eastAsia" w:ascii="宋体" w:hAnsi="宋体"/>
          <w:color w:val="auto"/>
          <w:kern w:val="0"/>
          <w:szCs w:val="21"/>
          <w:highlight w:val="none"/>
          <w:u w:val="single"/>
        </w:rPr>
        <w:t>包人应提供使用暂列金额支付项目的所有报价单、发票、账单或收据。</w:t>
      </w:r>
    </w:p>
    <w:p>
      <w:pPr>
        <w:spacing w:line="400" w:lineRule="exact"/>
        <w:ind w:firstLine="440" w:firstLineChars="200"/>
        <w:rPr>
          <w:rFonts w:ascii="宋体" w:hAnsi="宋体"/>
          <w:color w:val="auto"/>
          <w:kern w:val="0"/>
          <w:szCs w:val="21"/>
          <w:highlight w:val="none"/>
        </w:rPr>
      </w:pPr>
      <w:bookmarkStart w:id="413" w:name="_Toc500157620"/>
      <w:r>
        <w:rPr>
          <w:rFonts w:ascii="宋体" w:hAnsi="宋体"/>
          <w:color w:val="auto"/>
          <w:kern w:val="0"/>
          <w:szCs w:val="21"/>
          <w:highlight w:val="none"/>
        </w:rPr>
        <w:t>11.价格调整</w:t>
      </w:r>
      <w:bookmarkEnd w:id="413"/>
    </w:p>
    <w:p>
      <w:pPr>
        <w:spacing w:line="400" w:lineRule="exact"/>
        <w:ind w:firstLine="440" w:firstLineChars="200"/>
        <w:rPr>
          <w:rFonts w:ascii="宋体" w:hAnsi="宋体"/>
          <w:color w:val="auto"/>
          <w:kern w:val="0"/>
          <w:szCs w:val="21"/>
          <w:highlight w:val="none"/>
        </w:rPr>
      </w:pPr>
      <w:bookmarkStart w:id="414" w:name="_Toc304295577"/>
      <w:bookmarkStart w:id="415" w:name="_Toc297120501"/>
      <w:bookmarkStart w:id="416" w:name="_Toc303539157"/>
      <w:bookmarkStart w:id="417" w:name="_Toc297048387"/>
      <w:bookmarkStart w:id="418" w:name="_Toc297216209"/>
      <w:bookmarkStart w:id="419" w:name="_Toc300935000"/>
      <w:bookmarkStart w:id="420" w:name="_Toc296503201"/>
      <w:bookmarkStart w:id="421" w:name="_Toc292559911"/>
      <w:bookmarkStart w:id="422" w:name="_Toc296944540"/>
      <w:bookmarkStart w:id="423" w:name="_Toc312678039"/>
      <w:bookmarkStart w:id="424" w:name="_Toc296347200"/>
      <w:bookmarkStart w:id="425" w:name="_Toc296891029"/>
      <w:bookmarkStart w:id="426" w:name="_Toc292559406"/>
      <w:bookmarkStart w:id="427" w:name="_Toc297123550"/>
      <w:bookmarkStart w:id="428" w:name="_Toc296346702"/>
      <w:bookmarkStart w:id="429" w:name="_Toc296891241"/>
      <w:r>
        <w:rPr>
          <w:rFonts w:ascii="宋体" w:hAnsi="宋体"/>
          <w:color w:val="auto"/>
          <w:kern w:val="0"/>
          <w:szCs w:val="21"/>
          <w:highlight w:val="none"/>
        </w:rPr>
        <w:t>11.1市场价格波动引起的调整</w:t>
      </w: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市场价格波动是否调整合同价格的约定：</w:t>
      </w:r>
      <w:r>
        <w:rPr>
          <w:rFonts w:hint="eastAsia" w:ascii="宋体" w:hAnsi="宋体"/>
          <w:color w:val="auto"/>
          <w:szCs w:val="21"/>
          <w:highlight w:val="none"/>
          <w:u w:val="single"/>
        </w:rPr>
        <w:t xml:space="preserve"> 不调整</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因市场价格波动调整合同价格，采用以下第</w:t>
      </w:r>
      <w:r>
        <w:rPr>
          <w:rFonts w:hint="eastAsia" w:ascii="宋体" w:hAnsi="宋体"/>
          <w:color w:val="auto"/>
          <w:szCs w:val="21"/>
          <w:highlight w:val="none"/>
          <w:u w:val="single"/>
        </w:rPr>
        <w:t xml:space="preserve">  /</w:t>
      </w:r>
      <w:r>
        <w:rPr>
          <w:rFonts w:ascii="宋体" w:hAnsi="宋体"/>
          <w:color w:val="auto"/>
          <w:szCs w:val="21"/>
          <w:highlight w:val="none"/>
        </w:rPr>
        <w:t>种方式对合同价格进行调整：</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第1种方式：采用价格指数</w:t>
      </w:r>
      <w:r>
        <w:rPr>
          <w:rFonts w:hint="eastAsia" w:ascii="宋体" w:hAnsi="宋体"/>
          <w:color w:val="auto"/>
          <w:szCs w:val="21"/>
          <w:highlight w:val="none"/>
        </w:rPr>
        <w:t>进行价格</w:t>
      </w:r>
      <w:r>
        <w:rPr>
          <w:rFonts w:ascii="宋体" w:hAnsi="宋体"/>
          <w:color w:val="auto"/>
          <w:szCs w:val="21"/>
          <w:highlight w:val="none"/>
        </w:rPr>
        <w:t>调整。</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第2种方式：采用造价信息</w:t>
      </w:r>
      <w:r>
        <w:rPr>
          <w:rFonts w:hint="eastAsia" w:ascii="宋体" w:hAnsi="宋体"/>
          <w:color w:val="auto"/>
          <w:szCs w:val="21"/>
          <w:highlight w:val="none"/>
        </w:rPr>
        <w:t>进行价格</w:t>
      </w:r>
      <w:r>
        <w:rPr>
          <w:rFonts w:ascii="宋体" w:hAnsi="宋体"/>
          <w:color w:val="auto"/>
          <w:szCs w:val="21"/>
          <w:highlight w:val="none"/>
        </w:rPr>
        <w:t>调整。</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（2）关于基准价格的约定：</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专用合同条款</w:t>
      </w:r>
      <w:r>
        <w:rPr>
          <w:rFonts w:hint="eastAsia" w:ascii="宋体" w:hAnsi="宋体" w:cs="宋体"/>
          <w:color w:val="auto"/>
          <w:szCs w:val="21"/>
          <w:highlight w:val="none"/>
        </w:rPr>
        <w:t>①</w:t>
      </w:r>
      <w:r>
        <w:rPr>
          <w:rFonts w:ascii="宋体" w:hAnsi="宋体"/>
          <w:color w:val="auto"/>
          <w:szCs w:val="21"/>
          <w:highlight w:val="none"/>
        </w:rPr>
        <w:t>承包人在已标价工程量清单或预算书中载明的材料单价低于基准价格的：专用合同条款合同履行期间材料单价涨幅以基准价格为基础超过</w:t>
      </w:r>
      <w:r>
        <w:rPr>
          <w:rFonts w:hint="eastAsia" w:ascii="宋体" w:hAnsi="宋体"/>
          <w:color w:val="auto"/>
          <w:szCs w:val="21"/>
          <w:highlight w:val="none"/>
          <w:u w:val="single"/>
        </w:rPr>
        <w:t xml:space="preserve"> / </w:t>
      </w:r>
      <w:r>
        <w:rPr>
          <w:rFonts w:ascii="宋体" w:hAnsi="宋体"/>
          <w:color w:val="auto"/>
          <w:szCs w:val="21"/>
          <w:highlight w:val="none"/>
        </w:rPr>
        <w:t>％时，或材料单价跌幅以已标价工程量清单或预算书中载明材料单价为基础超过</w:t>
      </w:r>
      <w:r>
        <w:rPr>
          <w:rFonts w:hint="eastAsia" w:ascii="宋体" w:hAnsi="宋体"/>
          <w:color w:val="auto"/>
          <w:szCs w:val="21"/>
          <w:highlight w:val="none"/>
          <w:u w:val="single"/>
        </w:rPr>
        <w:t xml:space="preserve"> / </w:t>
      </w:r>
      <w:r>
        <w:rPr>
          <w:rFonts w:ascii="宋体" w:hAnsi="宋体"/>
          <w:color w:val="auto"/>
          <w:szCs w:val="21"/>
          <w:highlight w:val="none"/>
        </w:rPr>
        <w:t>％时，其超过部分据实调整。</w:t>
      </w:r>
    </w:p>
    <w:p>
      <w:pPr>
        <w:spacing w:line="400" w:lineRule="exact"/>
        <w:ind w:firstLine="440" w:firstLineChars="200"/>
        <w:jc w:val="left"/>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承包人在已标价工程量清单或预算书中载明的材料单价高于基准价格的：专用合同条款合同履行期间材料单价跌幅以基准价格为基础超过</w:t>
      </w:r>
      <w:r>
        <w:rPr>
          <w:rFonts w:hint="eastAsia" w:ascii="宋体" w:hAnsi="宋体"/>
          <w:color w:val="auto"/>
          <w:szCs w:val="21"/>
          <w:highlight w:val="none"/>
          <w:u w:val="single"/>
        </w:rPr>
        <w:t xml:space="preserve"> / </w:t>
      </w:r>
      <w:r>
        <w:rPr>
          <w:rFonts w:ascii="宋体" w:hAnsi="宋体"/>
          <w:color w:val="auto"/>
          <w:szCs w:val="21"/>
          <w:highlight w:val="none"/>
        </w:rPr>
        <w:t>％时，材料单价涨幅以已标价工程量清单或预算书中载明材料单价为基础超过</w:t>
      </w:r>
      <w:r>
        <w:rPr>
          <w:rFonts w:hint="eastAsia" w:ascii="宋体" w:hAnsi="宋体"/>
          <w:color w:val="auto"/>
          <w:szCs w:val="21"/>
          <w:highlight w:val="none"/>
          <w:u w:val="single"/>
        </w:rPr>
        <w:t xml:space="preserve"> / </w:t>
      </w:r>
      <w:r>
        <w:rPr>
          <w:rFonts w:ascii="宋体" w:hAnsi="宋体"/>
          <w:color w:val="auto"/>
          <w:szCs w:val="21"/>
          <w:highlight w:val="none"/>
        </w:rPr>
        <w:t>％时，其超过部分据实调整。</w:t>
      </w:r>
    </w:p>
    <w:p>
      <w:pPr>
        <w:spacing w:line="400" w:lineRule="exact"/>
        <w:ind w:firstLine="440" w:firstLineChars="200"/>
        <w:rPr>
          <w:rFonts w:ascii="宋体" w:hAnsi="宋体"/>
          <w:color w:val="auto"/>
          <w:kern w:val="0"/>
          <w:szCs w:val="21"/>
          <w:highlight w:val="none"/>
        </w:rPr>
      </w:pPr>
      <w:r>
        <w:rPr>
          <w:rFonts w:hint="eastAsia" w:ascii="宋体" w:hAnsi="宋体"/>
          <w:color w:val="auto"/>
          <w:kern w:val="0"/>
          <w:szCs w:val="21"/>
          <w:highlight w:val="none"/>
        </w:rPr>
        <w:t>③</w:t>
      </w:r>
      <w:r>
        <w:rPr>
          <w:rFonts w:ascii="宋体" w:hAnsi="宋体"/>
          <w:color w:val="auto"/>
          <w:kern w:val="0"/>
          <w:szCs w:val="21"/>
          <w:highlight w:val="none"/>
        </w:rPr>
        <w:t>承包人在已标价工程量清单或预算书中载明的材料单价等于基准单价的：专用合同条款合同履行期间材料单价涨跌幅以基准单价为基础超过±</w:t>
      </w:r>
      <w:r>
        <w:rPr>
          <w:rFonts w:hint="eastAsia" w:ascii="宋体" w:hAnsi="宋体"/>
          <w:color w:val="auto"/>
          <w:kern w:val="0"/>
          <w:szCs w:val="21"/>
          <w:highlight w:val="none"/>
        </w:rPr>
        <w:t xml:space="preserve"> / </w:t>
      </w:r>
      <w:r>
        <w:rPr>
          <w:rFonts w:ascii="宋体" w:hAnsi="宋体"/>
          <w:color w:val="auto"/>
          <w:kern w:val="0"/>
          <w:szCs w:val="21"/>
          <w:highlight w:val="none"/>
        </w:rPr>
        <w:t>％时，其超过部分据实调整。</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第3种方式：其他价格调整方式：</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bookmarkEnd w:id="315"/>
    <w:bookmarkEnd w:id="316"/>
    <w:bookmarkEnd w:id="317"/>
    <w:bookmarkEnd w:id="318"/>
    <w:bookmarkEnd w:id="319"/>
    <w:bookmarkEnd w:id="320"/>
    <w:p>
      <w:pPr>
        <w:spacing w:line="400" w:lineRule="exact"/>
        <w:ind w:firstLine="440" w:firstLineChars="200"/>
        <w:rPr>
          <w:rFonts w:ascii="宋体" w:hAnsi="宋体"/>
          <w:color w:val="auto"/>
          <w:kern w:val="0"/>
          <w:szCs w:val="21"/>
          <w:highlight w:val="none"/>
        </w:rPr>
      </w:pPr>
      <w:bookmarkStart w:id="430" w:name="_Toc292559410"/>
      <w:bookmarkStart w:id="431" w:name="_Toc296944544"/>
      <w:bookmarkStart w:id="432" w:name="_Toc296503205"/>
      <w:bookmarkStart w:id="433" w:name="_Toc297120505"/>
      <w:bookmarkStart w:id="434" w:name="_Toc296891033"/>
      <w:bookmarkStart w:id="435" w:name="_Toc296891245"/>
      <w:bookmarkStart w:id="436" w:name="_Toc297048391"/>
      <w:bookmarkStart w:id="437" w:name="_Toc296347204"/>
      <w:bookmarkStart w:id="438" w:name="_Toc292559915"/>
      <w:bookmarkStart w:id="439" w:name="_Toc296346706"/>
      <w:bookmarkStart w:id="440" w:name="_Toc500157621"/>
      <w:bookmarkStart w:id="441" w:name="_Toc304295579"/>
      <w:bookmarkStart w:id="442" w:name="_Toc297123552"/>
      <w:bookmarkStart w:id="443" w:name="_Toc300935002"/>
      <w:bookmarkStart w:id="444" w:name="_Toc297216211"/>
      <w:bookmarkStart w:id="445" w:name="_Toc303539159"/>
      <w:bookmarkStart w:id="446" w:name="_Toc312678040"/>
      <w:r>
        <w:rPr>
          <w:rFonts w:ascii="宋体" w:hAnsi="宋体"/>
          <w:color w:val="auto"/>
          <w:kern w:val="0"/>
          <w:szCs w:val="21"/>
          <w:highlight w:val="none"/>
        </w:rPr>
        <w:t>12.</w:t>
      </w:r>
      <w:bookmarkEnd w:id="430"/>
      <w:bookmarkEnd w:id="431"/>
      <w:bookmarkEnd w:id="432"/>
      <w:bookmarkEnd w:id="433"/>
      <w:bookmarkEnd w:id="434"/>
      <w:bookmarkEnd w:id="435"/>
      <w:bookmarkEnd w:id="436"/>
      <w:bookmarkEnd w:id="437"/>
      <w:bookmarkEnd w:id="438"/>
      <w:bookmarkEnd w:id="439"/>
      <w:r>
        <w:rPr>
          <w:rFonts w:ascii="宋体" w:hAnsi="宋体"/>
          <w:color w:val="auto"/>
          <w:kern w:val="0"/>
          <w:szCs w:val="21"/>
          <w:highlight w:val="none"/>
        </w:rPr>
        <w:t>合同价格、计量与支付</w:t>
      </w:r>
      <w:bookmarkEnd w:id="440"/>
    </w:p>
    <w:bookmarkEnd w:id="441"/>
    <w:bookmarkEnd w:id="442"/>
    <w:bookmarkEnd w:id="443"/>
    <w:bookmarkEnd w:id="444"/>
    <w:bookmarkEnd w:id="445"/>
    <w:bookmarkEnd w:id="446"/>
    <w:p>
      <w:pPr>
        <w:spacing w:line="400" w:lineRule="exact"/>
        <w:ind w:firstLine="440" w:firstLineChars="200"/>
        <w:rPr>
          <w:rFonts w:ascii="宋体" w:hAnsi="宋体"/>
          <w:color w:val="auto"/>
          <w:kern w:val="0"/>
          <w:szCs w:val="21"/>
          <w:highlight w:val="none"/>
        </w:rPr>
      </w:pPr>
      <w:bookmarkStart w:id="447" w:name="_Toc292559916"/>
      <w:bookmarkStart w:id="448" w:name="_Toc292559411"/>
      <w:bookmarkStart w:id="449" w:name="_Toc267251461"/>
      <w:bookmarkStart w:id="450" w:name="_Toc296503206"/>
      <w:bookmarkStart w:id="451" w:name="_Toc296347205"/>
      <w:bookmarkStart w:id="452" w:name="_Toc296944545"/>
      <w:bookmarkStart w:id="453" w:name="_Toc297048392"/>
      <w:bookmarkStart w:id="454" w:name="_Toc296891034"/>
      <w:bookmarkStart w:id="455" w:name="_Toc297120506"/>
      <w:bookmarkStart w:id="456" w:name="_Toc296346707"/>
      <w:bookmarkStart w:id="457" w:name="_Toc296891246"/>
      <w:bookmarkStart w:id="458" w:name="_Toc297216212"/>
      <w:bookmarkStart w:id="459" w:name="_Toc303539160"/>
      <w:bookmarkStart w:id="460" w:name="_Toc300935003"/>
      <w:bookmarkStart w:id="461" w:name="_Toc304295580"/>
      <w:bookmarkStart w:id="462" w:name="_Toc297123553"/>
      <w:bookmarkStart w:id="463" w:name="_Toc312678041"/>
      <w:r>
        <w:rPr>
          <w:rFonts w:ascii="宋体" w:hAnsi="宋体"/>
          <w:color w:val="auto"/>
          <w:kern w:val="0"/>
          <w:szCs w:val="21"/>
          <w:highlight w:val="none"/>
        </w:rPr>
        <w:t>12.1合</w:t>
      </w:r>
      <w:bookmarkEnd w:id="447"/>
      <w:bookmarkEnd w:id="448"/>
      <w:bookmarkEnd w:id="449"/>
      <w:r>
        <w:rPr>
          <w:rFonts w:ascii="宋体" w:hAnsi="宋体"/>
          <w:color w:val="auto"/>
          <w:kern w:val="0"/>
          <w:szCs w:val="21"/>
          <w:highlight w:val="none"/>
        </w:rPr>
        <w:t>同价</w:t>
      </w:r>
      <w:bookmarkEnd w:id="450"/>
      <w:bookmarkEnd w:id="451"/>
      <w:bookmarkEnd w:id="452"/>
      <w:bookmarkEnd w:id="453"/>
      <w:bookmarkEnd w:id="454"/>
      <w:bookmarkEnd w:id="455"/>
      <w:bookmarkEnd w:id="456"/>
      <w:bookmarkEnd w:id="457"/>
      <w:r>
        <w:rPr>
          <w:rFonts w:ascii="宋体" w:hAnsi="宋体"/>
          <w:color w:val="auto"/>
          <w:kern w:val="0"/>
          <w:szCs w:val="21"/>
          <w:highlight w:val="none"/>
        </w:rPr>
        <w:t>格形式</w:t>
      </w:r>
    </w:p>
    <w:bookmarkEnd w:id="458"/>
    <w:bookmarkEnd w:id="459"/>
    <w:bookmarkEnd w:id="460"/>
    <w:bookmarkEnd w:id="461"/>
    <w:bookmarkEnd w:id="462"/>
    <w:bookmarkEnd w:id="463"/>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1、单价</w:t>
      </w:r>
      <w:r>
        <w:rPr>
          <w:rFonts w:ascii="宋体" w:hAnsi="宋体"/>
          <w:color w:val="auto"/>
          <w:szCs w:val="21"/>
          <w:highlight w:val="none"/>
        </w:rPr>
        <w:t>合同。</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综合单价包含的风险范围：</w:t>
      </w:r>
      <w:r>
        <w:rPr>
          <w:rFonts w:hint="eastAsia" w:ascii="宋体" w:hAnsi="宋体"/>
          <w:color w:val="auto"/>
          <w:szCs w:val="21"/>
          <w:highlight w:val="none"/>
          <w:u w:val="single"/>
        </w:rPr>
        <w:t>合同单价在合同约定的风险范围内不作调整</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风险费用的计算方法：</w:t>
      </w:r>
      <w:r>
        <w:rPr>
          <w:rFonts w:hint="eastAsia" w:ascii="宋体" w:hAnsi="宋体"/>
          <w:color w:val="auto"/>
          <w:szCs w:val="21"/>
          <w:highlight w:val="none"/>
          <w:u w:val="single"/>
        </w:rPr>
        <w:t>由承包人在投标时自行考虑并承担</w:t>
      </w:r>
      <w:r>
        <w:rPr>
          <w:rFonts w:ascii="宋体" w:hAnsi="宋体"/>
          <w:color w:val="auto"/>
          <w:szCs w:val="21"/>
          <w:highlight w:val="none"/>
        </w:rPr>
        <w:t>。</w:t>
      </w:r>
    </w:p>
    <w:p>
      <w:pPr>
        <w:spacing w:line="400" w:lineRule="exact"/>
        <w:ind w:firstLine="440" w:firstLineChars="200"/>
        <w:jc w:val="left"/>
        <w:rPr>
          <w:rFonts w:hint="eastAsia" w:ascii="宋体" w:hAnsi="宋体"/>
          <w:color w:val="auto"/>
          <w:szCs w:val="21"/>
          <w:highlight w:val="none"/>
          <w:u w:val="single"/>
        </w:rPr>
      </w:pPr>
      <w:r>
        <w:rPr>
          <w:rFonts w:ascii="宋体" w:hAnsi="宋体"/>
          <w:color w:val="auto"/>
          <w:szCs w:val="21"/>
          <w:highlight w:val="none"/>
        </w:rPr>
        <w:t>风险范围以外合同价格的调整方法：</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2、总价合同。</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总价包含的风险范围：</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风险费用的计算方法：</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风险范围以外合同价格的调整方法：</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hint="eastAsia" w:ascii="宋体" w:hAnsi="宋体"/>
          <w:color w:val="auto"/>
          <w:szCs w:val="21"/>
          <w:highlight w:val="none"/>
          <w:u w:val="single"/>
        </w:rPr>
      </w:pPr>
      <w:r>
        <w:rPr>
          <w:rFonts w:ascii="宋体" w:hAnsi="宋体"/>
          <w:color w:val="auto"/>
          <w:szCs w:val="21"/>
          <w:highlight w:val="none"/>
        </w:rPr>
        <w:t>3、其他价格方式：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12.</w:t>
      </w:r>
      <w:r>
        <w:rPr>
          <w:rFonts w:hint="eastAsia"/>
          <w:color w:val="auto"/>
          <w:kern w:val="0"/>
          <w:szCs w:val="21"/>
          <w:highlight w:val="none"/>
          <w:lang w:val="en-US" w:eastAsia="zh-CN"/>
        </w:rPr>
        <w:t>2</w:t>
      </w:r>
      <w:r>
        <w:rPr>
          <w:rFonts w:ascii="宋体" w:hAnsi="宋体"/>
          <w:color w:val="auto"/>
          <w:kern w:val="0"/>
          <w:szCs w:val="21"/>
          <w:highlight w:val="none"/>
        </w:rPr>
        <w:t>计量</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12.</w:t>
      </w:r>
      <w:r>
        <w:rPr>
          <w:rFonts w:hint="eastAsia"/>
          <w:color w:val="auto"/>
          <w:kern w:val="0"/>
          <w:szCs w:val="21"/>
          <w:highlight w:val="none"/>
          <w:lang w:val="en-US" w:eastAsia="zh-CN"/>
        </w:rPr>
        <w:t>2</w:t>
      </w:r>
      <w:r>
        <w:rPr>
          <w:rFonts w:ascii="宋体" w:hAnsi="宋体"/>
          <w:color w:val="auto"/>
          <w:kern w:val="0"/>
          <w:szCs w:val="21"/>
          <w:highlight w:val="none"/>
        </w:rPr>
        <w:t>.1计</w:t>
      </w:r>
      <w:r>
        <w:rPr>
          <w:rFonts w:ascii="宋体" w:hAnsi="宋体"/>
          <w:color w:val="auto"/>
          <w:szCs w:val="21"/>
          <w:highlight w:val="none"/>
        </w:rPr>
        <w:t>量原则</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工程量计算规则：</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①执行《广东省建设工程计价依据（2018）》、《建设工程工程量清单计价规范》（GB50500－2013）、《广东省房屋建筑与装饰工程综合定额（2018）》《广东省市政工程综合定额（2018）》《广东省通用安装工程综合定额（2018）》《广东省园林绿化工程综合定额（2018）》等有关规定；</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②本工程所需的材料、机械台班价格首先参考工程建设所在地的造价部门公布的</w:t>
      </w:r>
      <w:r>
        <w:rPr>
          <w:rFonts w:hint="eastAsia"/>
          <w:color w:val="auto"/>
          <w:szCs w:val="21"/>
          <w:highlight w:val="none"/>
          <w:u w:val="single"/>
          <w:lang w:val="en-US" w:eastAsia="zh-CN"/>
        </w:rPr>
        <w:t>2020年第二</w:t>
      </w:r>
      <w:r>
        <w:rPr>
          <w:rFonts w:hint="eastAsia" w:ascii="宋体" w:hAnsi="宋体"/>
          <w:color w:val="auto"/>
          <w:szCs w:val="21"/>
          <w:highlight w:val="none"/>
          <w:u w:val="single"/>
        </w:rPr>
        <w:t>季度材料信息价，其次参考《云浮市建设工程造价信息》、《广东材料信息价》计价，缺项部分按市场询价，最终以双方签证确认为准；</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③绿色施工安全防护措施、意外伤害保险、工程排污费、施工噪音排污费、防洪工程维护费、税前工程造价、增值税销项税额按工程建设所在地有关规定执行；</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④税金：建筑业增值税税率为9％</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u w:val="single"/>
        </w:rPr>
        <w:t>单价子目的计量：A、已标价工程量清单中的单价子目工程量为按照工程量计算规则（工程量计算规则应以相关的国家标准、行业标准等为依据）及施工图纸进行计量。结算工程量是承包人实际完成的，并按合同约定的计量方法进行计量的工程量；B、承包人对已完成的工程进行计量，向监理人提交进度付款申请单、已完成工程量报表和有关计量资料；C、监理人对承包人提交的工程量报表进行复核，以确定实际完成的工程量。对数量有异议的，可要求业主、监理、承包人三方约定进行共同复核和抽样复测。承包人应协助监理人进行复核并按监理人要求提供补充计量资料。承包人未按监理人要求参加复核，监理人复核或修正的工程量视为承包人实际完成的工程量；D、监理人认为有必要时，可通知承包人共同进行联合测量、计量，承包人应遵照执行；E、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F、监理人应在收到承包人提交的工程量报表后的7天内进行复核。</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2</w:t>
      </w:r>
      <w:r>
        <w:rPr>
          <w:rFonts w:ascii="宋体" w:hAnsi="宋体"/>
          <w:color w:val="auto"/>
          <w:szCs w:val="21"/>
          <w:highlight w:val="none"/>
        </w:rPr>
        <w:t>.2计量周期</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关于计量周期的约定：</w:t>
      </w:r>
      <w:r>
        <w:rPr>
          <w:rFonts w:hint="eastAsia" w:ascii="宋体" w:hAnsi="宋体"/>
          <w:color w:val="auto"/>
          <w:szCs w:val="21"/>
          <w:highlight w:val="none"/>
          <w:u w:val="single"/>
        </w:rPr>
        <w:t>承包人应于每月 25 日前，向监理工程师提交已完工程量的报告</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2</w:t>
      </w:r>
      <w:r>
        <w:rPr>
          <w:rFonts w:ascii="宋体" w:hAnsi="宋体"/>
          <w:color w:val="auto"/>
          <w:szCs w:val="21"/>
          <w:highlight w:val="none"/>
        </w:rPr>
        <w:t>.3单价合同的计量</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关于单价合同计量的约定：</w:t>
      </w:r>
      <w:r>
        <w:rPr>
          <w:rFonts w:hint="eastAsia" w:ascii="宋体" w:hAnsi="宋体"/>
          <w:color w:val="auto"/>
          <w:szCs w:val="21"/>
          <w:highlight w:val="none"/>
          <w:u w:val="single"/>
        </w:rPr>
        <w:t>承包人应当在每30天向发包人提交一次当期已完工程量的报告，该报告必须一式四份。发包人接到报告后5天内核实已完工程量，并在核实前一天通知承包人，承包人应提供条件并派人参加核实。承包人收到通知后不参加核实，以发包人核实的工程量作为工程款支付的依据</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2</w:t>
      </w:r>
      <w:r>
        <w:rPr>
          <w:rFonts w:ascii="宋体" w:hAnsi="宋体"/>
          <w:color w:val="auto"/>
          <w:szCs w:val="21"/>
          <w:highlight w:val="none"/>
        </w:rPr>
        <w:t>.4总价合同的计量</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2</w:t>
      </w:r>
      <w:r>
        <w:rPr>
          <w:rFonts w:ascii="宋体" w:hAnsi="宋体"/>
          <w:color w:val="auto"/>
          <w:szCs w:val="21"/>
          <w:highlight w:val="none"/>
        </w:rPr>
        <w:t>.5总价合同采用支付分解表计量支付的，是否适用第</w:t>
      </w:r>
      <w:r>
        <w:rPr>
          <w:rFonts w:ascii="宋体" w:hAnsi="宋体"/>
          <w:color w:val="auto"/>
          <w:kern w:val="0"/>
          <w:szCs w:val="21"/>
          <w:highlight w:val="none"/>
        </w:rPr>
        <w:t>12.</w:t>
      </w:r>
      <w:r>
        <w:rPr>
          <w:rFonts w:hint="eastAsia"/>
          <w:color w:val="auto"/>
          <w:kern w:val="0"/>
          <w:szCs w:val="21"/>
          <w:highlight w:val="none"/>
          <w:lang w:val="en-US" w:eastAsia="zh-CN"/>
        </w:rPr>
        <w:t>2</w:t>
      </w:r>
      <w:r>
        <w:rPr>
          <w:rFonts w:ascii="宋体" w:hAnsi="宋体"/>
          <w:color w:val="auto"/>
          <w:kern w:val="0"/>
          <w:szCs w:val="21"/>
          <w:highlight w:val="none"/>
        </w:rPr>
        <w:t>.4</w:t>
      </w:r>
      <w:r>
        <w:rPr>
          <w:rFonts w:ascii="宋体" w:hAnsi="宋体"/>
          <w:color w:val="auto"/>
          <w:szCs w:val="21"/>
          <w:highlight w:val="none"/>
        </w:rPr>
        <w:t>项</w:t>
      </w:r>
      <w:r>
        <w:rPr>
          <w:rFonts w:hint="eastAsia" w:ascii="宋体" w:hAnsi="宋体"/>
          <w:color w:val="auto"/>
          <w:kern w:val="0"/>
          <w:szCs w:val="21"/>
          <w:highlight w:val="none"/>
        </w:rPr>
        <w:t>〔</w:t>
      </w:r>
      <w:r>
        <w:rPr>
          <w:rFonts w:ascii="宋体" w:hAnsi="宋体"/>
          <w:color w:val="auto"/>
          <w:kern w:val="0"/>
          <w:szCs w:val="21"/>
          <w:highlight w:val="none"/>
        </w:rPr>
        <w:t>总价合同的计量</w:t>
      </w:r>
      <w:r>
        <w:rPr>
          <w:rFonts w:hint="eastAsia" w:ascii="宋体" w:hAnsi="宋体"/>
          <w:color w:val="auto"/>
          <w:kern w:val="0"/>
          <w:szCs w:val="21"/>
          <w:highlight w:val="none"/>
        </w:rPr>
        <w:t>〕</w:t>
      </w:r>
      <w:r>
        <w:rPr>
          <w:rFonts w:ascii="宋体" w:hAnsi="宋体"/>
          <w:color w:val="auto"/>
          <w:szCs w:val="21"/>
          <w:highlight w:val="none"/>
        </w:rPr>
        <w:t>约定</w:t>
      </w:r>
      <w:r>
        <w:rPr>
          <w:rFonts w:hint="eastAsia" w:ascii="宋体" w:hAnsi="宋体"/>
          <w:color w:val="auto"/>
          <w:szCs w:val="21"/>
          <w:highlight w:val="none"/>
        </w:rPr>
        <w:t>进行计量：</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2</w:t>
      </w:r>
      <w:r>
        <w:rPr>
          <w:rFonts w:ascii="宋体" w:hAnsi="宋体"/>
          <w:color w:val="auto"/>
          <w:szCs w:val="21"/>
          <w:highlight w:val="none"/>
        </w:rPr>
        <w:t>.6其他价格形式合同的计量</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2" w:firstLineChars="200"/>
        <w:rPr>
          <w:rFonts w:ascii="宋体" w:hAnsi="宋体"/>
          <w:b/>
          <w:bCs/>
          <w:color w:val="auto"/>
          <w:kern w:val="0"/>
          <w:szCs w:val="21"/>
          <w:highlight w:val="none"/>
        </w:rPr>
      </w:pPr>
      <w:r>
        <w:rPr>
          <w:rFonts w:ascii="宋体" w:hAnsi="宋体"/>
          <w:b/>
          <w:bCs/>
          <w:color w:val="auto"/>
          <w:kern w:val="0"/>
          <w:szCs w:val="21"/>
          <w:highlight w:val="none"/>
        </w:rPr>
        <w:t>12.</w:t>
      </w:r>
      <w:r>
        <w:rPr>
          <w:rFonts w:hint="eastAsia"/>
          <w:b/>
          <w:bCs/>
          <w:color w:val="auto"/>
          <w:kern w:val="0"/>
          <w:szCs w:val="21"/>
          <w:highlight w:val="none"/>
          <w:lang w:val="en-US" w:eastAsia="zh-CN"/>
        </w:rPr>
        <w:t>3</w:t>
      </w:r>
      <w:r>
        <w:rPr>
          <w:rFonts w:ascii="宋体" w:hAnsi="宋体"/>
          <w:b/>
          <w:bCs/>
          <w:color w:val="auto"/>
          <w:kern w:val="0"/>
          <w:szCs w:val="21"/>
          <w:highlight w:val="none"/>
        </w:rPr>
        <w:t>工程款支付</w:t>
      </w:r>
    </w:p>
    <w:p>
      <w:pPr>
        <w:spacing w:line="400" w:lineRule="exact"/>
        <w:ind w:firstLine="442" w:firstLineChars="200"/>
        <w:rPr>
          <w:rFonts w:ascii="宋体" w:hAnsi="宋体"/>
          <w:b/>
          <w:bCs/>
          <w:color w:val="auto"/>
          <w:szCs w:val="21"/>
          <w:highlight w:val="none"/>
        </w:rPr>
      </w:pPr>
      <w:bookmarkStart w:id="464" w:name="_Toc297120511"/>
      <w:bookmarkStart w:id="465" w:name="_Toc297123556"/>
      <w:bookmarkStart w:id="466" w:name="_Toc297216215"/>
      <w:bookmarkStart w:id="467" w:name="_Toc296891251"/>
      <w:bookmarkStart w:id="468" w:name="_Toc296944550"/>
      <w:bookmarkStart w:id="469" w:name="_Toc303539163"/>
      <w:bookmarkStart w:id="470" w:name="_Toc296503211"/>
      <w:bookmarkStart w:id="471" w:name="_Toc296347210"/>
      <w:bookmarkStart w:id="472" w:name="_Toc292559416"/>
      <w:bookmarkStart w:id="473" w:name="_Toc300935006"/>
      <w:bookmarkStart w:id="474" w:name="_Toc292559921"/>
      <w:bookmarkStart w:id="475" w:name="_Toc296891039"/>
      <w:bookmarkStart w:id="476" w:name="_Toc297048397"/>
      <w:bookmarkStart w:id="477" w:name="_Toc296346712"/>
      <w:r>
        <w:rPr>
          <w:rFonts w:ascii="宋体" w:hAnsi="宋体"/>
          <w:b/>
          <w:bCs/>
          <w:color w:val="auto"/>
          <w:kern w:val="0"/>
          <w:szCs w:val="21"/>
          <w:highlight w:val="none"/>
        </w:rPr>
        <w:t>12.</w:t>
      </w:r>
      <w:r>
        <w:rPr>
          <w:rFonts w:hint="eastAsia"/>
          <w:b/>
          <w:bCs/>
          <w:color w:val="auto"/>
          <w:kern w:val="0"/>
          <w:szCs w:val="21"/>
          <w:highlight w:val="none"/>
          <w:lang w:val="en-US" w:eastAsia="zh-CN"/>
        </w:rPr>
        <w:t>3</w:t>
      </w:r>
      <w:r>
        <w:rPr>
          <w:rFonts w:ascii="宋体" w:hAnsi="宋体"/>
          <w:b/>
          <w:bCs/>
          <w:color w:val="auto"/>
          <w:kern w:val="0"/>
          <w:szCs w:val="21"/>
          <w:highlight w:val="none"/>
        </w:rPr>
        <w:t>.1付款</w:t>
      </w:r>
      <w:r>
        <w:rPr>
          <w:rFonts w:ascii="宋体" w:hAnsi="宋体"/>
          <w:b/>
          <w:bCs/>
          <w:color w:val="auto"/>
          <w:szCs w:val="21"/>
          <w:highlight w:val="none"/>
        </w:rPr>
        <w:t>周期</w:t>
      </w:r>
    </w:p>
    <w:p>
      <w:pPr>
        <w:spacing w:line="400" w:lineRule="exact"/>
        <w:ind w:firstLine="440" w:firstLineChars="200"/>
        <w:rPr>
          <w:rFonts w:ascii="宋体" w:hAnsi="宋体"/>
          <w:color w:val="auto"/>
          <w:szCs w:val="21"/>
          <w:highlight w:val="none"/>
        </w:rPr>
      </w:pPr>
      <w:r>
        <w:rPr>
          <w:rFonts w:ascii="宋体" w:hAnsi="宋体"/>
          <w:color w:val="auto"/>
          <w:szCs w:val="21"/>
          <w:highlight w:val="none"/>
        </w:rPr>
        <w:t>关于付款周期的约定：</w:t>
      </w:r>
    </w:p>
    <w:p>
      <w:pPr>
        <w:spacing w:line="400" w:lineRule="exact"/>
        <w:ind w:firstLine="442" w:firstLineChars="200"/>
        <w:jc w:val="left"/>
        <w:rPr>
          <w:rFonts w:hint="eastAsia" w:ascii="宋体" w:hAnsi="宋体"/>
          <w:b/>
          <w:color w:val="auto"/>
          <w:szCs w:val="21"/>
          <w:highlight w:val="none"/>
          <w:u w:val="single"/>
        </w:rPr>
      </w:pPr>
      <w:r>
        <w:rPr>
          <w:rFonts w:hint="eastAsia" w:ascii="宋体" w:hAnsi="宋体"/>
          <w:b/>
          <w:color w:val="auto"/>
          <w:szCs w:val="21"/>
          <w:highlight w:val="none"/>
          <w:u w:val="single"/>
        </w:rPr>
        <w:t>①发包人应当按照合同约定,按时足额将工程款中的工资款项拨入承包人设立的工资支付专用账户(工人工资支付专用账户:      ,用于发放作业工人工资。承包人在完成个人实名信息审核后，应当为作业工人统一办理用于发放工资的银行卡。银行卡由作业工人本人保管，承包人和其他个人不得非法代持作业工人银行卡。已有银行卡的作业工人，提供本人银行卡账户信息并与实名管理信息绑定后，可以不再办理新的银行卡。</w:t>
      </w:r>
    </w:p>
    <w:p>
      <w:pPr>
        <w:spacing w:line="400" w:lineRule="exact"/>
        <w:ind w:firstLine="442" w:firstLineChars="200"/>
        <w:jc w:val="left"/>
        <w:rPr>
          <w:rFonts w:hint="eastAsia" w:ascii="宋体" w:hAnsi="宋体"/>
          <w:b/>
          <w:color w:val="auto"/>
          <w:szCs w:val="21"/>
          <w:highlight w:val="none"/>
          <w:u w:val="single"/>
        </w:rPr>
      </w:pPr>
      <w:r>
        <w:rPr>
          <w:rFonts w:hint="eastAsia" w:ascii="宋体" w:hAnsi="宋体"/>
          <w:b/>
          <w:color w:val="auto"/>
          <w:szCs w:val="21"/>
          <w:highlight w:val="none"/>
          <w:u w:val="single"/>
        </w:rPr>
        <w:t>②工程进度款：合同签订后工程全部完工支付至签约合同价的85%（不含暂列金额和绿色施工安全防护措施费）。</w:t>
      </w:r>
    </w:p>
    <w:p>
      <w:pPr>
        <w:spacing w:line="400" w:lineRule="exact"/>
        <w:ind w:firstLine="442" w:firstLineChars="200"/>
        <w:jc w:val="left"/>
        <w:rPr>
          <w:rFonts w:hint="eastAsia" w:ascii="宋体" w:hAnsi="宋体"/>
          <w:b/>
          <w:color w:val="auto"/>
          <w:szCs w:val="21"/>
          <w:highlight w:val="none"/>
          <w:u w:val="single"/>
        </w:rPr>
      </w:pPr>
      <w:r>
        <w:rPr>
          <w:rFonts w:hint="eastAsia" w:ascii="宋体" w:hAnsi="宋体"/>
          <w:b/>
          <w:color w:val="auto"/>
          <w:szCs w:val="21"/>
          <w:highlight w:val="none"/>
          <w:u w:val="single"/>
        </w:rPr>
        <w:t>④工程结算款：验收合格并竣工结算完成支付至共工程结算价的97%，余下3%作为工程质量保证金；</w:t>
      </w:r>
    </w:p>
    <w:p>
      <w:pPr>
        <w:spacing w:line="400" w:lineRule="exact"/>
        <w:ind w:firstLine="442" w:firstLineChars="200"/>
        <w:jc w:val="left"/>
        <w:rPr>
          <w:rFonts w:hint="eastAsia" w:ascii="宋体" w:hAnsi="宋体"/>
          <w:b/>
          <w:color w:val="auto"/>
          <w:szCs w:val="21"/>
          <w:highlight w:val="none"/>
          <w:u w:val="single"/>
        </w:rPr>
      </w:pPr>
      <w:r>
        <w:rPr>
          <w:rFonts w:hint="eastAsia" w:ascii="宋体" w:hAnsi="宋体"/>
          <w:b/>
          <w:color w:val="auto"/>
          <w:szCs w:val="21"/>
          <w:highlight w:val="none"/>
          <w:u w:val="single"/>
        </w:rPr>
        <w:t>⑤工程质量保证金：施工结算总费用的3％，在缺陷责任期期满并经发包人组织验收合格后方可在</w:t>
      </w:r>
      <w:r>
        <w:rPr>
          <w:rFonts w:hint="eastAsia"/>
          <w:b/>
          <w:color w:val="auto"/>
          <w:szCs w:val="21"/>
          <w:highlight w:val="none"/>
          <w:u w:val="single"/>
          <w:lang w:val="en-US" w:eastAsia="zh-CN"/>
        </w:rPr>
        <w:t>60</w:t>
      </w:r>
      <w:r>
        <w:rPr>
          <w:rFonts w:hint="eastAsia" w:ascii="宋体" w:hAnsi="宋体"/>
          <w:b/>
          <w:color w:val="auto"/>
          <w:szCs w:val="21"/>
          <w:highlight w:val="none"/>
          <w:u w:val="single"/>
        </w:rPr>
        <w:t>天内</w:t>
      </w:r>
      <w:r>
        <w:rPr>
          <w:rFonts w:hint="eastAsia" w:ascii="宋体" w:hAnsi="宋体"/>
          <w:b/>
          <w:color w:val="auto"/>
          <w:szCs w:val="21"/>
          <w:highlight w:val="none"/>
          <w:u w:val="single"/>
          <w:lang w:val="en-US"/>
        </w:rPr>
        <w:t>扣除实际发生的维修费用后</w:t>
      </w:r>
      <w:r>
        <w:rPr>
          <w:rFonts w:hint="eastAsia" w:ascii="宋体" w:hAnsi="宋体"/>
          <w:b/>
          <w:color w:val="auto"/>
          <w:szCs w:val="21"/>
          <w:highlight w:val="none"/>
          <w:u w:val="single"/>
        </w:rPr>
        <w:t>无息退还工程质量保证金。在工程竣工验收后二年期满之日起，由于承包人原因造成某项缺陷或损坏使某项工程或工程设备不能按照原定目标使用而需要再次检查、检验和修复的，发包人有权要求承包人相应延长缺陷责任期，承包人须继续履行保修义务。在缺陷责任期内，承包人须在收到发包人的维修通知10个日历天内到场维修，逾期不到场的，发包人可自行委托第三方进场维修，由此产生的维修费用在工程保修金内扣取。如维修费用超出质量保证金的，发包人可向承包人追讨赔偿。</w:t>
      </w:r>
    </w:p>
    <w:p>
      <w:pPr>
        <w:spacing w:line="400" w:lineRule="exact"/>
        <w:ind w:firstLine="442" w:firstLineChars="200"/>
        <w:jc w:val="left"/>
        <w:rPr>
          <w:rFonts w:hint="eastAsia" w:ascii="宋体" w:hAnsi="宋体"/>
          <w:b/>
          <w:color w:val="auto"/>
          <w:szCs w:val="21"/>
          <w:highlight w:val="none"/>
          <w:u w:val="single"/>
        </w:rPr>
      </w:pPr>
      <w:r>
        <w:rPr>
          <w:rFonts w:hint="eastAsia" w:ascii="宋体" w:hAnsi="宋体"/>
          <w:b/>
          <w:color w:val="auto"/>
          <w:szCs w:val="21"/>
          <w:highlight w:val="none"/>
          <w:u w:val="single"/>
        </w:rPr>
        <w:t>具体付款方式及未尽事宜根据项目实施过程当中的实际情况，由双方另行协商确定。</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3</w:t>
      </w:r>
      <w:r>
        <w:rPr>
          <w:rFonts w:ascii="宋体" w:hAnsi="宋体"/>
          <w:color w:val="auto"/>
          <w:szCs w:val="21"/>
          <w:highlight w:val="none"/>
        </w:rPr>
        <w:t>.2进度付款申请单的编制</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每月结束后的7天内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宋体" w:hAnsi="宋体"/>
          <w:color w:val="auto"/>
          <w:szCs w:val="21"/>
          <w:highlight w:val="none"/>
        </w:rPr>
        <w:t>2.</w:t>
      </w:r>
      <w:r>
        <w:rPr>
          <w:rFonts w:hint="eastAsia"/>
          <w:color w:val="auto"/>
          <w:szCs w:val="21"/>
          <w:highlight w:val="none"/>
          <w:lang w:val="en-US" w:eastAsia="zh-CN"/>
        </w:rPr>
        <w:t>3</w:t>
      </w:r>
      <w:r>
        <w:rPr>
          <w:rFonts w:ascii="宋体" w:hAnsi="宋体"/>
          <w:color w:val="auto"/>
          <w:szCs w:val="21"/>
          <w:highlight w:val="none"/>
        </w:rPr>
        <w:t>.3进度付款申请单的提交</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3</w:t>
      </w:r>
      <w:r>
        <w:rPr>
          <w:rFonts w:ascii="宋体" w:hAnsi="宋体"/>
          <w:color w:val="auto"/>
          <w:szCs w:val="21"/>
          <w:highlight w:val="none"/>
        </w:rPr>
        <w:t>.4进度款审核和支付</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收到进度款申请单后 2 天内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收到审计确认的进度款申请单后 3 个工作日内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签发进度款支付证书后 7 个工作日</w:t>
      </w:r>
      <w:r>
        <w:rPr>
          <w:rFonts w:ascii="宋体" w:hAnsi="宋体"/>
          <w:color w:val="auto"/>
          <w:szCs w:val="21"/>
          <w:highlight w:val="none"/>
        </w:rPr>
        <w:t>。</w:t>
      </w:r>
    </w:p>
    <w:p>
      <w:pPr>
        <w:spacing w:line="400" w:lineRule="exact"/>
        <w:ind w:firstLine="550" w:firstLineChars="250"/>
        <w:jc w:val="left"/>
        <w:rPr>
          <w:rFonts w:ascii="宋体" w:hAnsi="宋体"/>
          <w:color w:val="auto"/>
          <w:szCs w:val="21"/>
          <w:highlight w:val="none"/>
          <w:u w:val="singl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550" w:firstLineChars="250"/>
        <w:jc w:val="left"/>
        <w:rPr>
          <w:rFonts w:ascii="宋体" w:hAnsi="宋体"/>
          <w:color w:val="auto"/>
          <w:szCs w:val="21"/>
          <w:highlight w:val="none"/>
        </w:rPr>
      </w:pPr>
      <w:r>
        <w:rPr>
          <w:rFonts w:ascii="宋体" w:hAnsi="宋体"/>
          <w:color w:val="auto"/>
          <w:szCs w:val="21"/>
          <w:highlight w:val="none"/>
        </w:rPr>
        <w:t>12.</w:t>
      </w:r>
      <w:r>
        <w:rPr>
          <w:rFonts w:hint="eastAsia"/>
          <w:color w:val="auto"/>
          <w:szCs w:val="21"/>
          <w:highlight w:val="none"/>
          <w:lang w:val="en-US" w:eastAsia="zh-CN"/>
        </w:rPr>
        <w:t>3</w:t>
      </w:r>
      <w:r>
        <w:rPr>
          <w:rFonts w:ascii="宋体" w:hAnsi="宋体"/>
          <w:color w:val="auto"/>
          <w:szCs w:val="21"/>
          <w:highlight w:val="none"/>
        </w:rPr>
        <w:t>.6支付分解表的编制</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2、总价合同支付分解表的编制与审批：</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3、单价合同的总价项目支付分解表的编制与审批：</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 xml:space="preserve"> </w:t>
      </w:r>
      <w:r>
        <w:rPr>
          <w:rFonts w:ascii="宋体" w:hAnsi="宋体"/>
          <w:color w:val="auto"/>
          <w:kern w:val="0"/>
          <w:szCs w:val="21"/>
          <w:highlight w:val="none"/>
        </w:rPr>
        <w:t>。</w:t>
      </w:r>
    </w:p>
    <w:bookmarkEnd w:id="321"/>
    <w:p>
      <w:pPr>
        <w:spacing w:line="400" w:lineRule="exact"/>
        <w:ind w:firstLine="440" w:firstLineChars="200"/>
        <w:rPr>
          <w:rFonts w:ascii="宋体" w:hAnsi="宋体"/>
          <w:color w:val="auto"/>
          <w:kern w:val="0"/>
          <w:szCs w:val="21"/>
          <w:highlight w:val="none"/>
        </w:rPr>
      </w:pPr>
      <w:bookmarkStart w:id="478" w:name="_Toc500157622"/>
      <w:bookmarkStart w:id="479" w:name="_Toc296944558"/>
      <w:bookmarkStart w:id="480" w:name="_Toc296347218"/>
      <w:bookmarkStart w:id="481" w:name="_Toc312678053"/>
      <w:bookmarkStart w:id="482" w:name="_Toc296891259"/>
      <w:bookmarkStart w:id="483" w:name="_Toc304295593"/>
      <w:bookmarkStart w:id="484" w:name="_Toc292559929"/>
      <w:bookmarkStart w:id="485" w:name="_Toc296503219"/>
      <w:bookmarkStart w:id="486" w:name="_Toc297216223"/>
      <w:bookmarkStart w:id="487" w:name="_Toc297048405"/>
      <w:bookmarkStart w:id="488" w:name="_Toc297120519"/>
      <w:bookmarkStart w:id="489" w:name="_Toc296891047"/>
      <w:bookmarkStart w:id="490" w:name="_Toc303539172"/>
      <w:bookmarkStart w:id="491" w:name="_Toc296346720"/>
      <w:bookmarkStart w:id="492" w:name="_Toc300935015"/>
      <w:bookmarkStart w:id="493" w:name="_Toc297123564"/>
      <w:bookmarkStart w:id="494" w:name="_Toc292559424"/>
      <w:r>
        <w:rPr>
          <w:rFonts w:ascii="宋体" w:hAnsi="宋体"/>
          <w:color w:val="auto"/>
          <w:kern w:val="0"/>
          <w:szCs w:val="21"/>
          <w:highlight w:val="none"/>
        </w:rPr>
        <w:t>13.验收和工程试车</w:t>
      </w:r>
      <w:bookmarkEnd w:id="478"/>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13.1分部分项工程验收</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13.1.2</w:t>
      </w:r>
      <w:r>
        <w:rPr>
          <w:rFonts w:ascii="宋体" w:hAnsi="宋体"/>
          <w:color w:val="auto"/>
          <w:szCs w:val="21"/>
          <w:highlight w:val="none"/>
        </w:rPr>
        <w:t>监理人不能按时进行验收时，应提前</w:t>
      </w:r>
      <w:r>
        <w:rPr>
          <w:rFonts w:hint="eastAsia" w:ascii="宋体" w:hAnsi="宋体"/>
          <w:color w:val="auto"/>
          <w:szCs w:val="21"/>
          <w:highlight w:val="none"/>
          <w:u w:val="single"/>
        </w:rPr>
        <w:t>24</w:t>
      </w:r>
      <w:r>
        <w:rPr>
          <w:rFonts w:ascii="宋体" w:hAnsi="宋体"/>
          <w:color w:val="auto"/>
          <w:szCs w:val="21"/>
          <w:highlight w:val="none"/>
        </w:rPr>
        <w:t>小时提交书面延期要求。</w:t>
      </w:r>
    </w:p>
    <w:p>
      <w:pPr>
        <w:spacing w:line="400" w:lineRule="exact"/>
        <w:ind w:firstLine="440" w:firstLineChars="200"/>
        <w:jc w:val="left"/>
        <w:rPr>
          <w:rFonts w:ascii="宋体" w:hAnsi="宋体"/>
          <w:b/>
          <w:color w:val="auto"/>
          <w:szCs w:val="21"/>
          <w:highlight w:val="none"/>
        </w:rPr>
      </w:pPr>
      <w:r>
        <w:rPr>
          <w:rFonts w:ascii="宋体" w:hAnsi="宋体"/>
          <w:color w:val="auto"/>
          <w:szCs w:val="21"/>
          <w:highlight w:val="none"/>
        </w:rPr>
        <w:t>关于延期最长不得超过：</w:t>
      </w:r>
      <w:r>
        <w:rPr>
          <w:rFonts w:hint="eastAsia" w:ascii="宋体" w:hAnsi="宋体"/>
          <w:color w:val="auto"/>
          <w:szCs w:val="21"/>
          <w:highlight w:val="none"/>
          <w:u w:val="single"/>
        </w:rPr>
        <w:t>48</w:t>
      </w:r>
      <w:r>
        <w:rPr>
          <w:rFonts w:ascii="宋体" w:hAnsi="宋体"/>
          <w:color w:val="auto"/>
          <w:szCs w:val="21"/>
          <w:highlight w:val="none"/>
        </w:rPr>
        <w:t>小时。</w:t>
      </w:r>
    </w:p>
    <w:p>
      <w:pPr>
        <w:spacing w:line="400" w:lineRule="exact"/>
        <w:ind w:firstLine="440" w:firstLineChars="200"/>
        <w:rPr>
          <w:rFonts w:ascii="宋体" w:hAnsi="宋体"/>
          <w:color w:val="auto"/>
          <w:kern w:val="0"/>
          <w:szCs w:val="21"/>
          <w:highlight w:val="none"/>
        </w:rPr>
      </w:pPr>
      <w:bookmarkStart w:id="495" w:name="_Toc296944562"/>
      <w:bookmarkStart w:id="496" w:name="_Toc303539173"/>
      <w:bookmarkStart w:id="497" w:name="_Toc296891263"/>
      <w:bookmarkStart w:id="498" w:name="_Toc297123565"/>
      <w:bookmarkStart w:id="499" w:name="_Toc296503223"/>
      <w:bookmarkStart w:id="500" w:name="_Toc300935016"/>
      <w:bookmarkStart w:id="501" w:name="_Toc292559933"/>
      <w:bookmarkStart w:id="502" w:name="_Toc297216224"/>
      <w:bookmarkStart w:id="503" w:name="_Toc296347222"/>
      <w:bookmarkStart w:id="504" w:name="_Toc297048409"/>
      <w:bookmarkStart w:id="505" w:name="_Toc296346724"/>
      <w:bookmarkStart w:id="506" w:name="_Toc312678056"/>
      <w:bookmarkStart w:id="507" w:name="_Toc304295596"/>
      <w:bookmarkStart w:id="508" w:name="_Toc292559428"/>
      <w:bookmarkStart w:id="509" w:name="_Toc297120523"/>
      <w:bookmarkStart w:id="510" w:name="_Toc296891051"/>
      <w:bookmarkStart w:id="511" w:name="_Toc267251472"/>
      <w:bookmarkStart w:id="512" w:name="_Toc267251471"/>
      <w:bookmarkStart w:id="513" w:name="_Toc267251473"/>
      <w:bookmarkStart w:id="514" w:name="_Toc267251475"/>
      <w:bookmarkStart w:id="515" w:name="_Toc267251470"/>
      <w:bookmarkStart w:id="516" w:name="_Toc267251476"/>
      <w:bookmarkStart w:id="517" w:name="_Toc267251474"/>
      <w:r>
        <w:rPr>
          <w:rFonts w:ascii="宋体" w:hAnsi="宋体"/>
          <w:color w:val="auto"/>
          <w:kern w:val="0"/>
          <w:szCs w:val="21"/>
          <w:highlight w:val="none"/>
        </w:rPr>
        <w:t>13.2竣工验收</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Pr>
        <w:spacing w:line="400" w:lineRule="exact"/>
        <w:ind w:firstLine="440" w:firstLineChars="200"/>
        <w:rPr>
          <w:rFonts w:ascii="宋体" w:hAnsi="宋体"/>
          <w:color w:val="auto"/>
          <w:szCs w:val="21"/>
          <w:highlight w:val="none"/>
        </w:rPr>
      </w:pPr>
      <w:bookmarkStart w:id="518" w:name="_Toc280868704"/>
      <w:bookmarkStart w:id="519" w:name="_Toc280868705"/>
      <w:bookmarkStart w:id="520" w:name="_Toc280868706"/>
      <w:bookmarkStart w:id="521" w:name="_Toc280868707"/>
      <w:bookmarkStart w:id="522" w:name="_Toc280868708"/>
      <w:bookmarkStart w:id="523" w:name="_Toc280868709"/>
      <w:r>
        <w:rPr>
          <w:rFonts w:ascii="宋体" w:hAnsi="宋体"/>
          <w:color w:val="auto"/>
          <w:kern w:val="0"/>
          <w:szCs w:val="21"/>
          <w:highlight w:val="none"/>
        </w:rPr>
        <w:t>13.2.2</w:t>
      </w:r>
      <w:r>
        <w:rPr>
          <w:rFonts w:ascii="宋体" w:hAnsi="宋体"/>
          <w:color w:val="auto"/>
          <w:szCs w:val="21"/>
          <w:highlight w:val="none"/>
        </w:rPr>
        <w:t>竣工验收程序</w:t>
      </w:r>
    </w:p>
    <w:bookmarkEnd w:id="518"/>
    <w:p>
      <w:pPr>
        <w:spacing w:line="400" w:lineRule="exact"/>
        <w:ind w:firstLine="440" w:firstLineChars="200"/>
        <w:jc w:val="left"/>
        <w:rPr>
          <w:rFonts w:ascii="宋体" w:hAnsi="宋体"/>
          <w:color w:val="auto"/>
          <w:szCs w:val="21"/>
          <w:highlight w:val="none"/>
          <w:u w:val="single"/>
        </w:rPr>
      </w:pPr>
      <w:r>
        <w:rPr>
          <w:rFonts w:ascii="宋体" w:hAnsi="宋体"/>
          <w:color w:val="auto"/>
          <w:kern w:val="0"/>
          <w:szCs w:val="21"/>
          <w:highlight w:val="none"/>
        </w:rPr>
        <w:t>关于竣工验收程序的约定：</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kern w:val="0"/>
          <w:szCs w:val="21"/>
          <w:highlight w:val="none"/>
        </w:rPr>
        <w:t>发包人不按照本项约定组织竣工验收、颁发工程接收证书的违约金的计算方法：</w:t>
      </w:r>
      <w:r>
        <w:rPr>
          <w:rFonts w:hint="eastAsia" w:ascii="宋体" w:hAnsi="宋体"/>
          <w:color w:val="auto"/>
          <w:szCs w:val="21"/>
          <w:highlight w:val="none"/>
          <w:u w:val="single"/>
        </w:rPr>
        <w:t xml:space="preserve">   /   </w:t>
      </w:r>
      <w:r>
        <w:rPr>
          <w:rFonts w:ascii="宋体" w:hAnsi="宋体"/>
          <w:color w:val="auto"/>
          <w:szCs w:val="21"/>
          <w:highlight w:val="none"/>
        </w:rPr>
        <w:t>。</w:t>
      </w:r>
    </w:p>
    <w:bookmarkEnd w:id="519"/>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13.2.5移交、接收全部与部分工程</w:t>
      </w:r>
    </w:p>
    <w:bookmarkEnd w:id="520"/>
    <w:p>
      <w:pPr>
        <w:spacing w:line="400" w:lineRule="exact"/>
        <w:ind w:firstLine="440" w:firstLineChars="200"/>
        <w:jc w:val="left"/>
        <w:rPr>
          <w:rFonts w:ascii="宋体" w:hAnsi="宋体"/>
          <w:color w:val="auto"/>
          <w:kern w:val="0"/>
          <w:szCs w:val="21"/>
          <w:highlight w:val="none"/>
        </w:rPr>
      </w:pPr>
      <w:r>
        <w:rPr>
          <w:rFonts w:hint="eastAsia" w:ascii="宋体" w:hAnsi="宋体"/>
          <w:color w:val="auto"/>
          <w:kern w:val="0"/>
          <w:szCs w:val="21"/>
          <w:highlight w:val="none"/>
        </w:rPr>
        <w:t>承包人向发包人移交工程的期限：</w:t>
      </w:r>
      <w:r>
        <w:rPr>
          <w:rFonts w:hint="eastAsia" w:ascii="宋体" w:hAnsi="宋体"/>
          <w:color w:val="auto"/>
          <w:szCs w:val="21"/>
          <w:highlight w:val="none"/>
          <w:u w:val="single"/>
        </w:rPr>
        <w:t>在颁发工程接收证书后 7 天内完成工程的移交</w:t>
      </w:r>
      <w:r>
        <w:rPr>
          <w:rFonts w:hint="eastAsia"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bookmarkEnd w:id="521"/>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承包人未按时移交工程的，违约金的计算方法为：</w:t>
      </w:r>
      <w:r>
        <w:rPr>
          <w:rFonts w:hint="eastAsia" w:ascii="宋体" w:hAnsi="宋体"/>
          <w:color w:val="auto"/>
          <w:szCs w:val="21"/>
          <w:highlight w:val="none"/>
          <w:u w:val="single"/>
        </w:rPr>
        <w:t>因承包人原因不能按合同约定的日期或监理方和发包人签证同意顺延的工期竣工的，超过合同规定竣工日期，承包人向发包人支付赔偿金以2000元/日计算，最高赔偿总额不超合同价的3％</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13.3工程试车</w:t>
      </w:r>
    </w:p>
    <w:bookmarkEnd w:id="522"/>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13.3.1试车程序</w:t>
      </w:r>
    </w:p>
    <w:p>
      <w:pPr>
        <w:spacing w:line="400" w:lineRule="exact"/>
        <w:ind w:firstLine="440" w:firstLineChars="200"/>
        <w:jc w:val="left"/>
        <w:rPr>
          <w:rFonts w:ascii="宋体" w:hAnsi="宋体"/>
          <w:color w:val="auto"/>
          <w:szCs w:val="21"/>
          <w:highlight w:val="none"/>
          <w:u w:val="single"/>
        </w:rPr>
      </w:pPr>
      <w:r>
        <w:rPr>
          <w:rFonts w:ascii="宋体" w:hAnsi="宋体"/>
          <w:color w:val="auto"/>
          <w:kern w:val="0"/>
          <w:szCs w:val="21"/>
          <w:highlight w:val="none"/>
        </w:rPr>
        <w:t>工程试车内容：</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（1）单机无负荷试车费用由</w:t>
      </w:r>
      <w:r>
        <w:rPr>
          <w:rFonts w:hint="eastAsia" w:ascii="宋体" w:hAnsi="宋体"/>
          <w:color w:val="auto"/>
          <w:szCs w:val="21"/>
          <w:highlight w:val="none"/>
          <w:u w:val="single"/>
        </w:rPr>
        <w:t xml:space="preserve"> 承包人 </w:t>
      </w:r>
      <w:r>
        <w:rPr>
          <w:rFonts w:ascii="宋体" w:hAnsi="宋体"/>
          <w:color w:val="auto"/>
          <w:kern w:val="0"/>
          <w:szCs w:val="21"/>
          <w:highlight w:val="none"/>
        </w:rPr>
        <w:t>承担；</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（2）无负荷联动试车费用由</w:t>
      </w:r>
      <w:r>
        <w:rPr>
          <w:rFonts w:hint="eastAsia" w:ascii="宋体" w:hAnsi="宋体"/>
          <w:color w:val="auto"/>
          <w:szCs w:val="21"/>
          <w:highlight w:val="none"/>
          <w:u w:val="single"/>
        </w:rPr>
        <w:t xml:space="preserve"> 承包人 </w:t>
      </w:r>
      <w:r>
        <w:rPr>
          <w:rFonts w:ascii="宋体" w:hAnsi="宋体"/>
          <w:color w:val="auto"/>
          <w:kern w:val="0"/>
          <w:szCs w:val="21"/>
          <w:highlight w:val="none"/>
        </w:rPr>
        <w:t>承担。</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13.3.3投料试车</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kern w:val="0"/>
          <w:szCs w:val="21"/>
          <w:highlight w:val="none"/>
        </w:rPr>
        <w:t>关于投料试车相关事项的约定：</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524" w:name="_Toc500157623"/>
      <w:r>
        <w:rPr>
          <w:rFonts w:ascii="宋体" w:hAnsi="宋体"/>
          <w:color w:val="auto"/>
          <w:kern w:val="0"/>
          <w:szCs w:val="21"/>
          <w:highlight w:val="none"/>
        </w:rPr>
        <w:t>13.6竣工退场</w:t>
      </w:r>
      <w:bookmarkEnd w:id="524"/>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13.6.1竣工退场</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hint="eastAsia" w:ascii="宋体" w:hAnsi="宋体"/>
          <w:color w:val="auto"/>
          <w:szCs w:val="21"/>
          <w:highlight w:val="none"/>
          <w:u w:val="single"/>
        </w:rPr>
        <w:t>交工验收合格后7天内</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bookmarkStart w:id="525" w:name="_Toc500157624"/>
      <w:r>
        <w:rPr>
          <w:rFonts w:ascii="宋体" w:hAnsi="宋体"/>
          <w:color w:val="auto"/>
          <w:kern w:val="0"/>
          <w:szCs w:val="21"/>
          <w:highlight w:val="none"/>
        </w:rPr>
        <w:t>14.竣工结算</w:t>
      </w:r>
      <w:bookmarkEnd w:id="525"/>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14.1竣工</w:t>
      </w:r>
      <w:r>
        <w:rPr>
          <w:rFonts w:hint="eastAsia" w:ascii="宋体" w:hAnsi="宋体"/>
          <w:color w:val="auto"/>
          <w:kern w:val="0"/>
          <w:szCs w:val="21"/>
          <w:highlight w:val="none"/>
        </w:rPr>
        <w:t>结算</w:t>
      </w:r>
      <w:r>
        <w:rPr>
          <w:rFonts w:ascii="宋体" w:hAnsi="宋体"/>
          <w:color w:val="auto"/>
          <w:kern w:val="0"/>
          <w:szCs w:val="21"/>
          <w:highlight w:val="none"/>
        </w:rPr>
        <w:t>申请</w:t>
      </w:r>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承包人提</w:t>
      </w:r>
      <w:r>
        <w:rPr>
          <w:rFonts w:ascii="宋体" w:hAnsi="宋体"/>
          <w:color w:val="auto"/>
          <w:szCs w:val="21"/>
          <w:highlight w:val="none"/>
        </w:rPr>
        <w:t>交竣工</w:t>
      </w:r>
      <w:r>
        <w:rPr>
          <w:rFonts w:hint="eastAsia" w:ascii="宋体" w:hAnsi="宋体"/>
          <w:color w:val="auto"/>
          <w:szCs w:val="21"/>
          <w:highlight w:val="none"/>
        </w:rPr>
        <w:t>结算</w:t>
      </w:r>
      <w:r>
        <w:rPr>
          <w:rFonts w:ascii="宋体" w:hAnsi="宋体"/>
          <w:color w:val="auto"/>
          <w:szCs w:val="21"/>
          <w:highlight w:val="none"/>
        </w:rPr>
        <w:t>申请单的期限：</w:t>
      </w:r>
      <w:r>
        <w:rPr>
          <w:rFonts w:hint="eastAsia" w:ascii="宋体" w:hAnsi="宋体"/>
          <w:color w:val="auto"/>
          <w:szCs w:val="21"/>
          <w:highlight w:val="none"/>
          <w:u w:val="single"/>
        </w:rPr>
        <w:t>工程竣工验收合格后28天内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竣工</w:t>
      </w:r>
      <w:r>
        <w:rPr>
          <w:rFonts w:hint="eastAsia" w:ascii="宋体" w:hAnsi="宋体"/>
          <w:color w:val="auto"/>
          <w:szCs w:val="21"/>
          <w:highlight w:val="none"/>
        </w:rPr>
        <w:t>结算</w:t>
      </w:r>
      <w:r>
        <w:rPr>
          <w:rFonts w:ascii="宋体" w:hAnsi="宋体"/>
          <w:color w:val="auto"/>
          <w:szCs w:val="21"/>
          <w:highlight w:val="none"/>
        </w:rPr>
        <w:t>申请单应包括的内容：</w:t>
      </w:r>
      <w:r>
        <w:rPr>
          <w:rFonts w:hint="eastAsia" w:ascii="宋体" w:hAnsi="宋体"/>
          <w:color w:val="auto"/>
          <w:szCs w:val="21"/>
          <w:highlight w:val="none"/>
          <w:u w:val="single"/>
        </w:rPr>
        <w:t>（1）竣工结算书；（2）发包人已支付承包人的款项；（3）应扣留的质量保证金；（4）发包人应支付承包人的合同价款</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526" w:name="_Toc500157625"/>
      <w:r>
        <w:rPr>
          <w:rFonts w:ascii="宋体" w:hAnsi="宋体"/>
          <w:color w:val="auto"/>
          <w:kern w:val="0"/>
          <w:szCs w:val="21"/>
          <w:highlight w:val="none"/>
        </w:rPr>
        <w:t>14.2竣工结算审核</w:t>
      </w:r>
      <w:bookmarkEnd w:id="526"/>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发包人</w:t>
      </w:r>
      <w:r>
        <w:rPr>
          <w:rFonts w:hint="eastAsia" w:ascii="宋体" w:hAnsi="宋体"/>
          <w:color w:val="auto"/>
          <w:szCs w:val="21"/>
          <w:highlight w:val="none"/>
        </w:rPr>
        <w:t>审批</w:t>
      </w:r>
      <w:r>
        <w:rPr>
          <w:rFonts w:ascii="宋体" w:hAnsi="宋体"/>
          <w:color w:val="auto"/>
          <w:szCs w:val="21"/>
          <w:highlight w:val="none"/>
        </w:rPr>
        <w:t>竣工付款申请单的期限：</w:t>
      </w:r>
      <w:r>
        <w:rPr>
          <w:rFonts w:hint="eastAsia" w:ascii="宋体" w:hAnsi="宋体"/>
          <w:color w:val="auto"/>
          <w:szCs w:val="21"/>
          <w:highlight w:val="none"/>
          <w:u w:val="single"/>
        </w:rPr>
        <w:t>监理人应在收到承包人提交的竣工付款申请单后的 4 天内完成复核，在竣工付款申请单上签字和出具竣工付款证书报送发包人审批。发包人应在收到上述竣工付款证书后的 14 天内审批，最终结算以上级部门或其授权委托单位审核为准</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rPr>
        <w:t>财审</w:t>
      </w:r>
      <w:r>
        <w:rPr>
          <w:rFonts w:hint="eastAsia" w:ascii="宋体" w:hAnsi="宋体"/>
          <w:color w:val="auto"/>
          <w:szCs w:val="21"/>
          <w:highlight w:val="none"/>
          <w:u w:val="single"/>
        </w:rPr>
        <w:t>审核结果出具后 30 天内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szCs w:val="21"/>
          <w:highlight w:val="none"/>
        </w:rPr>
        <w:t>关于竣工付款证书异议部分复核的方式和程序：</w:t>
      </w:r>
      <w:r>
        <w:rPr>
          <w:rFonts w:hint="eastAsia" w:ascii="宋体" w:hAnsi="宋体"/>
          <w:color w:val="auto"/>
          <w:szCs w:val="21"/>
          <w:highlight w:val="none"/>
          <w:u w:val="single"/>
        </w:rPr>
        <w:t>执行住房城乡建设部、国家工商行政管理总局制定的《建设工程施工合同（示范文本）》（GF-2017-0201）通用条款要求</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14.4最终结清</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14.4.1最终结清申请单</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承包人提交最终结清申请单的份数：</w:t>
      </w:r>
      <w:r>
        <w:rPr>
          <w:rFonts w:hint="eastAsia" w:ascii="宋体" w:hAnsi="宋体"/>
          <w:color w:val="auto"/>
          <w:szCs w:val="21"/>
          <w:highlight w:val="none"/>
          <w:u w:val="single"/>
        </w:rPr>
        <w:t>八份</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kern w:val="0"/>
          <w:szCs w:val="21"/>
          <w:highlight w:val="none"/>
        </w:rPr>
        <w:t>承包人提交最终结算申请单的期限：</w:t>
      </w:r>
      <w:r>
        <w:rPr>
          <w:rFonts w:hint="eastAsia" w:ascii="宋体" w:hAnsi="宋体"/>
          <w:color w:val="auto"/>
          <w:szCs w:val="21"/>
          <w:highlight w:val="none"/>
          <w:u w:val="single"/>
        </w:rPr>
        <w:t>缺陷责任期终止证书签发且竣工验收通过后 28 天内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14.4.2最终结清证书和支付</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（1）发包人完成最终结清申请单的</w:t>
      </w:r>
      <w:r>
        <w:rPr>
          <w:rFonts w:hint="eastAsia" w:ascii="宋体" w:hAnsi="宋体"/>
          <w:color w:val="auto"/>
          <w:szCs w:val="21"/>
          <w:highlight w:val="none"/>
        </w:rPr>
        <w:t>审批</w:t>
      </w:r>
      <w:r>
        <w:rPr>
          <w:rFonts w:ascii="宋体" w:hAnsi="宋体"/>
          <w:color w:val="auto"/>
          <w:szCs w:val="21"/>
          <w:highlight w:val="none"/>
        </w:rPr>
        <w:t>并颁发最终结清证书的期限：</w:t>
      </w:r>
      <w:r>
        <w:rPr>
          <w:rFonts w:hint="eastAsia" w:ascii="宋体" w:hAnsi="宋体"/>
          <w:color w:val="auto"/>
          <w:szCs w:val="21"/>
          <w:highlight w:val="none"/>
          <w:u w:val="single"/>
        </w:rPr>
        <w:t>收到承包人提交的最终结清证书 28 天内</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（2）发包人完成支付的期限：</w:t>
      </w:r>
      <w:r>
        <w:rPr>
          <w:rFonts w:hint="eastAsia" w:ascii="宋体" w:hAnsi="宋体"/>
          <w:color w:val="auto"/>
          <w:szCs w:val="21"/>
          <w:highlight w:val="none"/>
          <w:u w:val="single"/>
        </w:rPr>
        <w:t>颁发最终结清证书 7 天内</w:t>
      </w:r>
      <w:r>
        <w:rPr>
          <w:rFonts w:ascii="宋体" w:hAnsi="宋体"/>
          <w:color w:val="auto"/>
          <w:szCs w:val="21"/>
          <w:highlight w:val="none"/>
        </w:rPr>
        <w:t>。</w:t>
      </w:r>
    </w:p>
    <w:bookmarkEnd w:id="511"/>
    <w:bookmarkEnd w:id="512"/>
    <w:bookmarkEnd w:id="513"/>
    <w:bookmarkEnd w:id="514"/>
    <w:bookmarkEnd w:id="515"/>
    <w:bookmarkEnd w:id="516"/>
    <w:bookmarkEnd w:id="517"/>
    <w:bookmarkEnd w:id="523"/>
    <w:p>
      <w:pPr>
        <w:spacing w:line="400" w:lineRule="exact"/>
        <w:ind w:firstLine="440" w:firstLineChars="200"/>
        <w:jc w:val="left"/>
        <w:rPr>
          <w:rFonts w:ascii="宋体" w:hAnsi="宋体"/>
          <w:color w:val="auto"/>
          <w:szCs w:val="21"/>
          <w:highlight w:val="none"/>
        </w:rPr>
      </w:pPr>
      <w:bookmarkStart w:id="527" w:name="_Toc500157626"/>
      <w:bookmarkStart w:id="528" w:name="_Toc267251483"/>
      <w:bookmarkStart w:id="529" w:name="_Toc267251484"/>
      <w:bookmarkStart w:id="530" w:name="_Toc267251482"/>
      <w:bookmarkStart w:id="531" w:name="_Toc267251485"/>
      <w:bookmarkStart w:id="532" w:name="_Toc267251489"/>
      <w:bookmarkStart w:id="533" w:name="_Toc267251488"/>
      <w:bookmarkStart w:id="534" w:name="_Toc267251490"/>
      <w:bookmarkStart w:id="535" w:name="_Toc267251486"/>
      <w:bookmarkStart w:id="536" w:name="_Toc267251495"/>
      <w:bookmarkStart w:id="537" w:name="_Toc267251492"/>
      <w:bookmarkStart w:id="538" w:name="_Toc267251493"/>
      <w:bookmarkStart w:id="539" w:name="_Toc267251499"/>
      <w:bookmarkStart w:id="540" w:name="_Toc267251503"/>
      <w:bookmarkStart w:id="541" w:name="_Toc267251498"/>
      <w:bookmarkStart w:id="542" w:name="_Toc267251496"/>
      <w:bookmarkStart w:id="543" w:name="_Toc267251502"/>
      <w:bookmarkStart w:id="544" w:name="_Toc267251494"/>
      <w:bookmarkStart w:id="545" w:name="_Toc267251501"/>
      <w:bookmarkStart w:id="546" w:name="_Toc267251497"/>
      <w:bookmarkStart w:id="547" w:name="_Toc267251491"/>
      <w:bookmarkStart w:id="548" w:name="_Toc267251504"/>
      <w:bookmarkStart w:id="549" w:name="_Toc267251506"/>
      <w:bookmarkStart w:id="550" w:name="_Toc267251507"/>
      <w:bookmarkStart w:id="551" w:name="_Toc267251508"/>
      <w:bookmarkStart w:id="552" w:name="_Toc267251514"/>
      <w:bookmarkStart w:id="553" w:name="_Toc267251509"/>
      <w:bookmarkStart w:id="554" w:name="_Toc267251513"/>
      <w:bookmarkStart w:id="555" w:name="_Toc267251511"/>
      <w:bookmarkStart w:id="556" w:name="_Toc267251515"/>
      <w:bookmarkStart w:id="557" w:name="_Toc267251510"/>
      <w:r>
        <w:rPr>
          <w:rFonts w:ascii="宋体" w:hAnsi="宋体"/>
          <w:color w:val="auto"/>
          <w:szCs w:val="21"/>
          <w:highlight w:val="none"/>
        </w:rPr>
        <w:t>15.缺陷责任期与保修</w:t>
      </w:r>
      <w:bookmarkEnd w:id="527"/>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15.2缺陷责任期</w:t>
      </w:r>
      <w:bookmarkEnd w:id="528"/>
    </w:p>
    <w:p>
      <w:pPr>
        <w:spacing w:line="400" w:lineRule="exact"/>
        <w:ind w:firstLine="440" w:firstLineChars="200"/>
        <w:jc w:val="left"/>
        <w:rPr>
          <w:rFonts w:ascii="宋体" w:hAnsi="宋体"/>
          <w:color w:val="auto"/>
          <w:szCs w:val="21"/>
          <w:highlight w:val="none"/>
          <w:u w:val="single"/>
        </w:rPr>
      </w:pPr>
      <w:r>
        <w:rPr>
          <w:rFonts w:ascii="宋体" w:hAnsi="宋体"/>
          <w:color w:val="auto"/>
          <w:szCs w:val="21"/>
          <w:highlight w:val="none"/>
        </w:rPr>
        <w:t>缺陷责任期的具体期限：</w:t>
      </w:r>
      <w:r>
        <w:rPr>
          <w:rFonts w:hint="eastAsia" w:ascii="宋体" w:hAnsi="宋体"/>
          <w:color w:val="auto"/>
          <w:szCs w:val="21"/>
          <w:highlight w:val="none"/>
          <w:u w:val="single"/>
        </w:rPr>
        <w:t>自竣工验收合格之日起2年</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558" w:name="_Toc500157627"/>
      <w:r>
        <w:rPr>
          <w:rFonts w:ascii="宋体" w:hAnsi="宋体"/>
          <w:color w:val="auto"/>
          <w:kern w:val="0"/>
          <w:szCs w:val="21"/>
          <w:highlight w:val="none"/>
        </w:rPr>
        <w:t>15.3质量保证金</w:t>
      </w:r>
      <w:bookmarkEnd w:id="558"/>
    </w:p>
    <w:p>
      <w:pPr>
        <w:spacing w:line="400" w:lineRule="exact"/>
        <w:ind w:firstLine="440" w:firstLineChars="200"/>
        <w:rPr>
          <w:rFonts w:ascii="宋体" w:hAnsi="宋体"/>
          <w:color w:val="auto"/>
          <w:szCs w:val="21"/>
          <w:highlight w:val="none"/>
        </w:rPr>
      </w:pPr>
      <w:r>
        <w:rPr>
          <w:rFonts w:hint="eastAsia" w:ascii="宋体" w:hAnsi="宋体"/>
          <w:color w:val="auto"/>
          <w:kern w:val="0"/>
          <w:szCs w:val="21"/>
          <w:highlight w:val="none"/>
        </w:rPr>
        <w:t>关于</w:t>
      </w:r>
      <w:r>
        <w:rPr>
          <w:rFonts w:hint="eastAsia" w:ascii="宋体" w:hAnsi="宋体"/>
          <w:color w:val="auto"/>
          <w:szCs w:val="21"/>
          <w:highlight w:val="none"/>
        </w:rPr>
        <w:t>是否扣留质量保证金的约定：</w:t>
      </w:r>
      <w:r>
        <w:rPr>
          <w:rFonts w:hint="eastAsia" w:ascii="宋体" w:hAnsi="宋体"/>
          <w:color w:val="auto"/>
          <w:szCs w:val="21"/>
          <w:highlight w:val="none"/>
          <w:u w:val="single"/>
        </w:rPr>
        <w:t>扣留施工结算总费用的3％</w:t>
      </w:r>
      <w:r>
        <w:rPr>
          <w:rFonts w:ascii="宋体" w:hAnsi="宋体"/>
          <w:color w:val="auto"/>
          <w:szCs w:val="21"/>
          <w:highlight w:val="none"/>
        </w:rPr>
        <w:t>。</w:t>
      </w:r>
      <w:r>
        <w:rPr>
          <w:rFonts w:hint="eastAsia" w:ascii="宋体" w:hAnsi="宋体"/>
          <w:color w:val="auto"/>
          <w:szCs w:val="21"/>
          <w:highlight w:val="none"/>
        </w:rPr>
        <w:t>在工程项目竣工前，承包人按专用合同条款第3.7条提供履约担保的，发包人不得同时预留工程质量保证金。</w:t>
      </w:r>
    </w:p>
    <w:p>
      <w:pPr>
        <w:spacing w:line="400" w:lineRule="exact"/>
        <w:ind w:firstLine="440" w:firstLineChars="200"/>
        <w:rPr>
          <w:rFonts w:ascii="宋体" w:hAnsi="宋体"/>
          <w:color w:val="auto"/>
          <w:kern w:val="0"/>
          <w:szCs w:val="21"/>
          <w:highlight w:val="none"/>
        </w:rPr>
      </w:pPr>
      <w:bookmarkStart w:id="559" w:name="_Toc500157628"/>
      <w:r>
        <w:rPr>
          <w:rFonts w:ascii="宋体" w:hAnsi="宋体"/>
          <w:color w:val="auto"/>
          <w:kern w:val="0"/>
          <w:szCs w:val="21"/>
          <w:highlight w:val="none"/>
        </w:rPr>
        <w:t>15.3.1</w:t>
      </w:r>
      <w:r>
        <w:rPr>
          <w:rFonts w:hint="eastAsia" w:ascii="宋体" w:hAnsi="宋体"/>
          <w:color w:val="auto"/>
          <w:kern w:val="0"/>
          <w:szCs w:val="21"/>
          <w:highlight w:val="none"/>
        </w:rPr>
        <w:t>承包人提供</w:t>
      </w:r>
      <w:r>
        <w:rPr>
          <w:rFonts w:ascii="宋体" w:hAnsi="宋体"/>
          <w:color w:val="auto"/>
          <w:kern w:val="0"/>
          <w:szCs w:val="21"/>
          <w:highlight w:val="none"/>
        </w:rPr>
        <w:t>质量保证金的</w:t>
      </w:r>
      <w:r>
        <w:rPr>
          <w:rFonts w:hint="eastAsia" w:ascii="宋体" w:hAnsi="宋体"/>
          <w:color w:val="auto"/>
          <w:kern w:val="0"/>
          <w:szCs w:val="21"/>
          <w:highlight w:val="none"/>
        </w:rPr>
        <w:t>方</w:t>
      </w:r>
      <w:r>
        <w:rPr>
          <w:rFonts w:ascii="宋体" w:hAnsi="宋体"/>
          <w:color w:val="auto"/>
          <w:kern w:val="0"/>
          <w:szCs w:val="21"/>
          <w:highlight w:val="none"/>
        </w:rPr>
        <w:t>式</w:t>
      </w:r>
      <w:bookmarkEnd w:id="559"/>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质量保</w:t>
      </w:r>
      <w:r>
        <w:rPr>
          <w:rFonts w:ascii="宋体" w:hAnsi="宋体"/>
          <w:color w:val="auto"/>
          <w:szCs w:val="21"/>
          <w:highlight w:val="none"/>
        </w:rPr>
        <w:t>证金采用以下第</w:t>
      </w:r>
      <w:r>
        <w:rPr>
          <w:rFonts w:hint="eastAsia" w:ascii="宋体" w:hAnsi="宋体"/>
          <w:color w:val="auto"/>
          <w:szCs w:val="21"/>
          <w:highlight w:val="none"/>
          <w:u w:val="single"/>
        </w:rPr>
        <w:t>（3）</w:t>
      </w:r>
      <w:r>
        <w:rPr>
          <w:rFonts w:ascii="宋体" w:hAnsi="宋体"/>
          <w:color w:val="auto"/>
          <w:szCs w:val="21"/>
          <w:highlight w:val="none"/>
        </w:rPr>
        <w:t>种方式：</w:t>
      </w:r>
    </w:p>
    <w:p>
      <w:pPr>
        <w:autoSpaceDE w:val="0"/>
        <w:autoSpaceDN w:val="0"/>
        <w:adjustRightInd w:val="0"/>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（1）质量保证金保函，保证金额为：</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autoSpaceDE w:val="0"/>
        <w:autoSpaceDN w:val="0"/>
        <w:adjustRightInd w:val="0"/>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u w:val="single"/>
        </w:rPr>
        <w:t xml:space="preserve">   /   </w:t>
      </w:r>
      <w:r>
        <w:rPr>
          <w:rFonts w:ascii="宋体" w:hAnsi="宋体"/>
          <w:color w:val="auto"/>
          <w:kern w:val="0"/>
          <w:szCs w:val="21"/>
          <w:highlight w:val="none"/>
        </w:rPr>
        <w:t>％的工程款；</w:t>
      </w:r>
    </w:p>
    <w:p>
      <w:pPr>
        <w:autoSpaceDE w:val="0"/>
        <w:autoSpaceDN w:val="0"/>
        <w:adjustRightInd w:val="0"/>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（3）其他</w:t>
      </w:r>
      <w:r>
        <w:rPr>
          <w:rFonts w:hint="eastAsia" w:ascii="宋体" w:hAnsi="宋体"/>
          <w:color w:val="auto"/>
          <w:kern w:val="0"/>
          <w:szCs w:val="21"/>
          <w:highlight w:val="none"/>
        </w:rPr>
        <w:t>方</w:t>
      </w:r>
      <w:r>
        <w:rPr>
          <w:rFonts w:ascii="宋体" w:hAnsi="宋体"/>
          <w:color w:val="auto"/>
          <w:kern w:val="0"/>
          <w:szCs w:val="21"/>
          <w:highlight w:val="none"/>
        </w:rPr>
        <w:t>式：</w:t>
      </w:r>
      <w:r>
        <w:rPr>
          <w:rFonts w:hint="eastAsia" w:ascii="宋体" w:hAnsi="宋体" w:cs="宋体"/>
          <w:color w:val="auto"/>
          <w:szCs w:val="21"/>
          <w:highlight w:val="none"/>
          <w:u w:val="single"/>
        </w:rPr>
        <w:t>施工结算总费用的3％</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bookmarkStart w:id="560" w:name="_Toc500157629"/>
      <w:r>
        <w:rPr>
          <w:rFonts w:ascii="宋体" w:hAnsi="宋体"/>
          <w:color w:val="auto"/>
          <w:kern w:val="0"/>
          <w:szCs w:val="21"/>
          <w:highlight w:val="none"/>
        </w:rPr>
        <w:t>15.3.2质量保证金的扣留</w:t>
      </w:r>
      <w:bookmarkEnd w:id="560"/>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质量保证</w:t>
      </w:r>
      <w:r>
        <w:rPr>
          <w:rFonts w:ascii="宋体" w:hAnsi="宋体"/>
          <w:color w:val="auto"/>
          <w:szCs w:val="21"/>
          <w:highlight w:val="none"/>
        </w:rPr>
        <w:t>金的扣留采取以下第</w:t>
      </w:r>
      <w:r>
        <w:rPr>
          <w:rFonts w:hint="eastAsia" w:ascii="宋体" w:hAnsi="宋体"/>
          <w:color w:val="auto"/>
          <w:szCs w:val="21"/>
          <w:highlight w:val="none"/>
          <w:u w:val="single"/>
        </w:rPr>
        <w:t>（2）</w:t>
      </w:r>
      <w:r>
        <w:rPr>
          <w:rFonts w:ascii="宋体" w:hAnsi="宋体"/>
          <w:color w:val="auto"/>
          <w:szCs w:val="21"/>
          <w:highlight w:val="none"/>
        </w:rPr>
        <w:t>种方式：</w:t>
      </w:r>
    </w:p>
    <w:p>
      <w:pPr>
        <w:autoSpaceDE w:val="0"/>
        <w:autoSpaceDN w:val="0"/>
        <w:adjustRightInd w:val="0"/>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pPr>
        <w:spacing w:line="400" w:lineRule="exact"/>
        <w:ind w:firstLine="440" w:firstLineChars="200"/>
        <w:rPr>
          <w:rFonts w:ascii="宋体" w:hAnsi="宋体"/>
          <w:color w:val="auto"/>
          <w:kern w:val="0"/>
          <w:szCs w:val="21"/>
          <w:highlight w:val="none"/>
        </w:rPr>
      </w:pPr>
      <w:bookmarkStart w:id="561" w:name="_Toc500157630"/>
      <w:r>
        <w:rPr>
          <w:rFonts w:ascii="宋体" w:hAnsi="宋体"/>
          <w:color w:val="auto"/>
          <w:kern w:val="0"/>
          <w:szCs w:val="21"/>
          <w:highlight w:val="none"/>
        </w:rPr>
        <w:t>（2）工程竣工结算时一次性扣留质量保证金；</w:t>
      </w:r>
      <w:bookmarkEnd w:id="561"/>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（3）其他扣留方式：</w:t>
      </w:r>
      <w:r>
        <w:rPr>
          <w:rFonts w:hint="eastAsia" w:ascii="宋体" w:hAnsi="宋体" w:cs="宋体"/>
          <w:color w:val="auto"/>
          <w:szCs w:val="21"/>
          <w:highlight w:val="none"/>
          <w:u w:val="single"/>
        </w:rPr>
        <w:t xml:space="preserve">   /   </w:t>
      </w:r>
      <w:r>
        <w:rPr>
          <w:rFonts w:ascii="宋体" w:hAnsi="宋体"/>
          <w:color w:val="auto"/>
          <w:kern w:val="0"/>
          <w:szCs w:val="21"/>
          <w:highlight w:val="none"/>
        </w:rPr>
        <w:t>。</w:t>
      </w:r>
    </w:p>
    <w:p>
      <w:pPr>
        <w:spacing w:line="400" w:lineRule="exact"/>
        <w:ind w:firstLine="440" w:firstLineChars="200"/>
        <w:jc w:val="left"/>
        <w:rPr>
          <w:rFonts w:ascii="宋体" w:hAnsi="宋体" w:cs="宋体"/>
          <w:color w:val="auto"/>
          <w:szCs w:val="21"/>
          <w:highlight w:val="none"/>
          <w:u w:val="single"/>
        </w:rPr>
      </w:pPr>
      <w:r>
        <w:rPr>
          <w:rFonts w:ascii="宋体" w:hAnsi="宋体"/>
          <w:color w:val="auto"/>
          <w:szCs w:val="21"/>
          <w:highlight w:val="none"/>
        </w:rPr>
        <w:t>关于质量保证金的补充约定：</w:t>
      </w:r>
      <w:r>
        <w:rPr>
          <w:rFonts w:hint="eastAsia" w:ascii="宋体" w:hAnsi="宋体" w:cs="宋体"/>
          <w:color w:val="auto"/>
          <w:szCs w:val="21"/>
          <w:highlight w:val="none"/>
          <w:u w:val="single"/>
        </w:rPr>
        <w:t>在工程竣工验收后两年期满之日起，由于承包人原因造成某项缺陷或损坏使某项工程或工程设备不能按照原定目标使用而需要再次检查、检验和修复的，发包人有权要求承包人相应延长缺陷责任期，承包人须继续履行保修义务。缺陷责任期期满并经发包人组织验收合格后方可在14天内无息退还质量保证金。在缺陷责任期内，承包人须在收到发包人的维修通知10个日历天内到场维修，逾期不到场的，发包人可自行委托第三方进场维修，由此产生的维修费用在质量保证金内扣取。如维修费用超出质量保证金的，发包人可向承包人追讨赔偿</w:t>
      </w:r>
      <w:r>
        <w:rPr>
          <w:rFonts w:ascii="宋体" w:hAnsi="宋体" w:cs="宋体"/>
          <w:color w:val="auto"/>
          <w:szCs w:val="21"/>
          <w:highlight w:val="none"/>
          <w:u w:val="single"/>
        </w:rPr>
        <w:t>。</w:t>
      </w:r>
    </w:p>
    <w:bookmarkEnd w:id="529"/>
    <w:bookmarkEnd w:id="530"/>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15.4保修</w:t>
      </w:r>
    </w:p>
    <w:bookmarkEnd w:id="531"/>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15.4.1保修</w:t>
      </w:r>
      <w:r>
        <w:rPr>
          <w:rFonts w:ascii="宋体" w:hAnsi="宋体"/>
          <w:color w:val="auto"/>
          <w:szCs w:val="21"/>
          <w:highlight w:val="none"/>
        </w:rPr>
        <w:t>责任</w:t>
      </w:r>
    </w:p>
    <w:p>
      <w:pPr>
        <w:spacing w:line="400" w:lineRule="exact"/>
        <w:ind w:firstLine="429" w:firstLineChars="195"/>
        <w:jc w:val="left"/>
        <w:rPr>
          <w:rFonts w:ascii="宋体" w:hAnsi="宋体"/>
          <w:color w:val="auto"/>
          <w:kern w:val="0"/>
          <w:szCs w:val="21"/>
          <w:highlight w:val="none"/>
          <w:u w:val="single"/>
        </w:rPr>
      </w:pPr>
      <w:r>
        <w:rPr>
          <w:rFonts w:ascii="宋体" w:hAnsi="宋体"/>
          <w:color w:val="auto"/>
          <w:szCs w:val="21"/>
          <w:highlight w:val="none"/>
        </w:rPr>
        <w:t>工程保修期为：</w:t>
      </w:r>
      <w:r>
        <w:rPr>
          <w:rFonts w:hint="eastAsia" w:ascii="宋体" w:hAnsi="宋体"/>
          <w:color w:val="auto"/>
          <w:szCs w:val="21"/>
          <w:highlight w:val="none"/>
          <w:u w:val="single"/>
        </w:rPr>
        <w:t>自竣工验收合格之日起</w:t>
      </w:r>
      <w:r>
        <w:rPr>
          <w:rFonts w:hint="eastAsia"/>
          <w:color w:val="auto"/>
          <w:szCs w:val="21"/>
          <w:highlight w:val="none"/>
          <w:u w:val="single"/>
          <w:lang w:val="en-US" w:eastAsia="zh-CN"/>
        </w:rPr>
        <w:t>5</w:t>
      </w:r>
      <w:r>
        <w:rPr>
          <w:rFonts w:hint="eastAsia" w:ascii="宋体" w:hAnsi="宋体"/>
          <w:color w:val="auto"/>
          <w:szCs w:val="21"/>
          <w:highlight w:val="none"/>
          <w:u w:val="single"/>
        </w:rPr>
        <w:t>年</w:t>
      </w:r>
      <w:r>
        <w:rPr>
          <w:rFonts w:ascii="宋体" w:hAnsi="宋体"/>
          <w:color w:val="auto"/>
          <w:kern w:val="0"/>
          <w:szCs w:val="21"/>
          <w:highlight w:val="none"/>
        </w:rPr>
        <w:t>。</w:t>
      </w:r>
    </w:p>
    <w:p>
      <w:pPr>
        <w:spacing w:line="400" w:lineRule="exact"/>
        <w:ind w:firstLine="429" w:firstLineChars="195"/>
        <w:jc w:val="left"/>
        <w:rPr>
          <w:rFonts w:ascii="宋体" w:hAnsi="宋体"/>
          <w:color w:val="auto"/>
          <w:szCs w:val="21"/>
          <w:highlight w:val="none"/>
        </w:rPr>
      </w:pPr>
      <w:r>
        <w:rPr>
          <w:rFonts w:ascii="宋体" w:hAnsi="宋体"/>
          <w:color w:val="auto"/>
          <w:szCs w:val="21"/>
          <w:highlight w:val="none"/>
        </w:rPr>
        <w:t>15.4.3修复通知</w:t>
      </w:r>
    </w:p>
    <w:p>
      <w:pPr>
        <w:spacing w:line="400" w:lineRule="exact"/>
        <w:ind w:firstLine="429" w:firstLineChars="195"/>
        <w:jc w:val="left"/>
        <w:rPr>
          <w:rFonts w:ascii="宋体" w:hAnsi="宋体"/>
          <w:color w:val="auto"/>
          <w:kern w:val="0"/>
          <w:szCs w:val="21"/>
          <w:highlight w:val="none"/>
          <w:u w:val="single"/>
        </w:rPr>
      </w:pPr>
      <w:r>
        <w:rPr>
          <w:rFonts w:ascii="宋体" w:hAnsi="宋体"/>
          <w:color w:val="auto"/>
          <w:kern w:val="0"/>
          <w:szCs w:val="21"/>
          <w:highlight w:val="none"/>
        </w:rPr>
        <w:t>承包人收到保修通知并到达工程现场的合理时间：</w:t>
      </w:r>
      <w:r>
        <w:rPr>
          <w:rFonts w:hint="eastAsia" w:ascii="宋体" w:hAnsi="宋体"/>
          <w:color w:val="auto"/>
          <w:kern w:val="0"/>
          <w:szCs w:val="21"/>
          <w:highlight w:val="none"/>
          <w:u w:val="single"/>
        </w:rPr>
        <w:t>发包人可以口头通知承包人并在口头通知后 48 小时内书面确认，承包人应在 48 小时期限内到达工程现场并修复缺陷或损坏；紧急情况必须于 12 小时内到达。若承包人未按约定时间达到现场并修复缺陷或损坏，则发包人有权自行或委托第三方进行修复缺陷或损坏，因此产生的维修费用或损失经跟踪审计咨询单位(公司)确认后，发包人有权在未经承包人同意的情况下自行从结算款或质量保证金中扣除该修复缺陷或损坏所产生的用</w:t>
      </w:r>
      <w:r>
        <w:rPr>
          <w:rFonts w:ascii="宋体" w:hAnsi="宋体"/>
          <w:color w:val="auto"/>
          <w:kern w:val="0"/>
          <w:szCs w:val="21"/>
          <w:highlight w:val="none"/>
        </w:rPr>
        <w:t>。</w:t>
      </w:r>
    </w:p>
    <w:bookmarkEnd w:id="532"/>
    <w:bookmarkEnd w:id="533"/>
    <w:bookmarkEnd w:id="534"/>
    <w:bookmarkEnd w:id="535"/>
    <w:p>
      <w:pPr>
        <w:spacing w:line="400" w:lineRule="exact"/>
        <w:ind w:firstLine="440" w:firstLineChars="200"/>
        <w:rPr>
          <w:rFonts w:ascii="宋体" w:hAnsi="宋体"/>
          <w:color w:val="auto"/>
          <w:kern w:val="0"/>
          <w:szCs w:val="21"/>
          <w:highlight w:val="none"/>
        </w:rPr>
      </w:pPr>
      <w:bookmarkStart w:id="562" w:name="_Toc500157631"/>
      <w:bookmarkStart w:id="563" w:name="_Toc280868717"/>
      <w:bookmarkStart w:id="564" w:name="_Toc280868718"/>
      <w:r>
        <w:rPr>
          <w:rFonts w:ascii="宋体" w:hAnsi="宋体"/>
          <w:color w:val="auto"/>
          <w:kern w:val="0"/>
          <w:szCs w:val="21"/>
          <w:highlight w:val="none"/>
        </w:rPr>
        <w:t>16.违约</w:t>
      </w:r>
      <w:bookmarkEnd w:id="562"/>
    </w:p>
    <w:p>
      <w:pPr>
        <w:spacing w:line="400" w:lineRule="exact"/>
        <w:ind w:firstLine="440" w:firstLineChars="200"/>
        <w:rPr>
          <w:rFonts w:ascii="宋体" w:hAnsi="宋体"/>
          <w:color w:val="auto"/>
          <w:kern w:val="0"/>
          <w:szCs w:val="21"/>
          <w:highlight w:val="none"/>
        </w:rPr>
      </w:pPr>
      <w:bookmarkStart w:id="565" w:name="_Toc500157632"/>
      <w:r>
        <w:rPr>
          <w:rFonts w:ascii="宋体" w:hAnsi="宋体"/>
          <w:color w:val="auto"/>
          <w:kern w:val="0"/>
          <w:szCs w:val="21"/>
          <w:highlight w:val="none"/>
        </w:rPr>
        <w:t>16.1发包人违约</w:t>
      </w:r>
      <w:bookmarkEnd w:id="565"/>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16.1.1发包人违约的情</w:t>
      </w:r>
      <w:r>
        <w:rPr>
          <w:rFonts w:ascii="宋体" w:hAnsi="宋体"/>
          <w:color w:val="auto"/>
          <w:szCs w:val="21"/>
          <w:highlight w:val="none"/>
        </w:rPr>
        <w:t>形</w:t>
      </w:r>
    </w:p>
    <w:p>
      <w:pPr>
        <w:spacing w:line="400" w:lineRule="exact"/>
        <w:ind w:firstLine="440" w:firstLineChars="200"/>
        <w:jc w:val="left"/>
        <w:rPr>
          <w:rFonts w:ascii="宋体" w:hAnsi="宋体"/>
          <w:color w:val="auto"/>
          <w:kern w:val="0"/>
          <w:szCs w:val="21"/>
          <w:highlight w:val="none"/>
          <w:u w:val="single"/>
        </w:rPr>
      </w:pPr>
      <w:r>
        <w:rPr>
          <w:rFonts w:ascii="宋体" w:hAnsi="宋体"/>
          <w:color w:val="auto"/>
          <w:kern w:val="0"/>
          <w:szCs w:val="21"/>
          <w:highlight w:val="none"/>
        </w:rPr>
        <w:t>发包人违约的其他情形：</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16.1.2发包人违约的责任</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pPr>
        <w:spacing w:line="400" w:lineRule="exact"/>
        <w:ind w:left="1320" w:leftChars="200" w:hanging="880" w:hangingChars="400"/>
        <w:jc w:val="left"/>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w:t>
      </w:r>
      <w:r>
        <w:rPr>
          <w:rFonts w:hint="eastAsia" w:ascii="宋体" w:hAnsi="宋体"/>
          <w:color w:val="auto"/>
          <w:kern w:val="0"/>
          <w:szCs w:val="21"/>
          <w:highlight w:val="none"/>
        </w:rPr>
        <w:t>任：</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spacing w:line="400" w:lineRule="exact"/>
        <w:ind w:firstLine="440" w:firstLineChars="200"/>
        <w:jc w:val="left"/>
        <w:rPr>
          <w:rFonts w:ascii="宋体" w:hAnsi="宋体"/>
          <w:color w:val="auto"/>
          <w:kern w:val="0"/>
          <w:szCs w:val="21"/>
          <w:highlight w:val="none"/>
          <w:u w:val="single"/>
        </w:rPr>
      </w:pPr>
      <w:r>
        <w:rPr>
          <w:rFonts w:ascii="宋体" w:hAnsi="宋体"/>
          <w:color w:val="auto"/>
          <w:kern w:val="0"/>
          <w:szCs w:val="21"/>
          <w:highlight w:val="none"/>
        </w:rPr>
        <w:t>（3）发包人违反第10.1款</w:t>
      </w:r>
      <w:r>
        <w:rPr>
          <w:rFonts w:hint="eastAsia" w:ascii="宋体" w:hAnsi="宋体"/>
          <w:color w:val="auto"/>
          <w:kern w:val="0"/>
          <w:szCs w:val="21"/>
          <w:highlight w:val="none"/>
        </w:rPr>
        <w:t>〔</w:t>
      </w:r>
      <w:r>
        <w:rPr>
          <w:rFonts w:ascii="宋体" w:hAnsi="宋体"/>
          <w:color w:val="auto"/>
          <w:kern w:val="0"/>
          <w:szCs w:val="21"/>
          <w:highlight w:val="none"/>
        </w:rPr>
        <w:t>变更的范围</w:t>
      </w:r>
      <w:r>
        <w:rPr>
          <w:rFonts w:hint="eastAsia" w:ascii="宋体" w:hAnsi="宋体"/>
          <w:color w:val="auto"/>
          <w:kern w:val="0"/>
          <w:szCs w:val="21"/>
          <w:highlight w:val="none"/>
        </w:rPr>
        <w:t>〕</w:t>
      </w:r>
      <w:r>
        <w:rPr>
          <w:rFonts w:ascii="宋体" w:hAnsi="宋体"/>
          <w:color w:val="auto"/>
          <w:kern w:val="0"/>
          <w:szCs w:val="21"/>
          <w:highlight w:val="none"/>
        </w:rPr>
        <w:t>第（2）项约定，自行实施被取消的工作或转由他人实施的违约责任：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spacing w:line="400" w:lineRule="exact"/>
        <w:ind w:firstLine="440" w:firstLineChars="200"/>
        <w:jc w:val="left"/>
        <w:rPr>
          <w:rFonts w:ascii="宋体" w:hAnsi="宋体"/>
          <w:color w:val="auto"/>
          <w:kern w:val="0"/>
          <w:szCs w:val="21"/>
          <w:highlight w:val="none"/>
          <w:u w:val="single"/>
        </w:rPr>
      </w:pPr>
      <w:r>
        <w:rPr>
          <w:rFonts w:ascii="宋体" w:hAnsi="宋体"/>
          <w:color w:val="auto"/>
          <w:kern w:val="0"/>
          <w:szCs w:val="21"/>
          <w:highlight w:val="none"/>
        </w:rPr>
        <w:t>（5）因发包人违反合同约定造成暂停施工的违约责任：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rPr>
        <w:t>其他：</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16.1.3因发包人违约解除合同</w:t>
      </w:r>
    </w:p>
    <w:p>
      <w:pPr>
        <w:autoSpaceDE w:val="0"/>
        <w:autoSpaceDN w:val="0"/>
        <w:adjustRightInd w:val="0"/>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承包人按16.1.1项</w:t>
      </w:r>
      <w:r>
        <w:rPr>
          <w:rFonts w:hint="eastAsia" w:ascii="宋体" w:hAnsi="宋体"/>
          <w:color w:val="auto"/>
          <w:kern w:val="0"/>
          <w:szCs w:val="21"/>
          <w:highlight w:val="none"/>
        </w:rPr>
        <w:t>〔</w:t>
      </w:r>
      <w:r>
        <w:rPr>
          <w:rFonts w:ascii="宋体" w:hAnsi="宋体"/>
          <w:color w:val="auto"/>
          <w:kern w:val="0"/>
          <w:szCs w:val="21"/>
          <w:highlight w:val="none"/>
        </w:rPr>
        <w:t>发包人违约的情形</w:t>
      </w:r>
      <w:r>
        <w:rPr>
          <w:rFonts w:hint="eastAsia" w:ascii="宋体" w:hAnsi="宋体"/>
          <w:color w:val="auto"/>
          <w:kern w:val="0"/>
          <w:szCs w:val="21"/>
          <w:highlight w:val="none"/>
        </w:rPr>
        <w:t>〕</w:t>
      </w:r>
      <w:r>
        <w:rPr>
          <w:rFonts w:ascii="宋体" w:hAnsi="宋体"/>
          <w:color w:val="auto"/>
          <w:kern w:val="0"/>
          <w:szCs w:val="21"/>
          <w:highlight w:val="none"/>
        </w:rPr>
        <w:t>约定暂停施工满</w:t>
      </w:r>
      <w:r>
        <w:rPr>
          <w:rFonts w:hint="eastAsia" w:ascii="宋体" w:hAnsi="宋体"/>
          <w:color w:val="auto"/>
          <w:kern w:val="0"/>
          <w:szCs w:val="21"/>
          <w:highlight w:val="none"/>
          <w:u w:val="single"/>
        </w:rPr>
        <w:t xml:space="preserve">   /   </w:t>
      </w:r>
      <w:r>
        <w:rPr>
          <w:rFonts w:ascii="宋体" w:hAnsi="宋体"/>
          <w:color w:val="auto"/>
          <w:kern w:val="0"/>
          <w:szCs w:val="21"/>
          <w:highlight w:val="none"/>
        </w:rPr>
        <w:t>天后发包人仍不纠正其违约行为并致使合同目的不能实现的，承包人有权解除合同。</w:t>
      </w:r>
    </w:p>
    <w:p>
      <w:pPr>
        <w:spacing w:line="400" w:lineRule="exact"/>
        <w:ind w:firstLine="440" w:firstLineChars="200"/>
        <w:rPr>
          <w:rFonts w:ascii="宋体" w:hAnsi="宋体"/>
          <w:color w:val="auto"/>
          <w:kern w:val="0"/>
          <w:szCs w:val="21"/>
          <w:highlight w:val="none"/>
        </w:rPr>
      </w:pPr>
      <w:bookmarkStart w:id="566" w:name="_Toc500157633"/>
      <w:r>
        <w:rPr>
          <w:rFonts w:ascii="宋体" w:hAnsi="宋体"/>
          <w:color w:val="auto"/>
          <w:kern w:val="0"/>
          <w:szCs w:val="21"/>
          <w:highlight w:val="none"/>
        </w:rPr>
        <w:t>16.2承包人违约</w:t>
      </w:r>
      <w:bookmarkEnd w:id="566"/>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16.2.1承包人违约的情形</w:t>
      </w:r>
    </w:p>
    <w:p>
      <w:pPr>
        <w:spacing w:line="400" w:lineRule="exact"/>
        <w:ind w:firstLine="440" w:firstLineChars="200"/>
        <w:jc w:val="left"/>
        <w:rPr>
          <w:rFonts w:ascii="宋体" w:hAnsi="宋体"/>
          <w:color w:val="auto"/>
          <w:kern w:val="0"/>
          <w:szCs w:val="21"/>
          <w:highlight w:val="none"/>
          <w:u w:val="single"/>
        </w:rPr>
      </w:pPr>
      <w:r>
        <w:rPr>
          <w:rFonts w:ascii="宋体" w:hAnsi="宋体"/>
          <w:color w:val="auto"/>
          <w:kern w:val="0"/>
          <w:szCs w:val="21"/>
          <w:highlight w:val="none"/>
        </w:rPr>
        <w:t>承包人违约的其他情形：</w:t>
      </w:r>
      <w:r>
        <w:rPr>
          <w:rFonts w:hint="eastAsia" w:ascii="宋体" w:hAnsi="宋体"/>
          <w:color w:val="auto"/>
          <w:szCs w:val="21"/>
          <w:highlight w:val="none"/>
          <w:u w:val="single"/>
        </w:rPr>
        <w:t>执行专用条款第16.2.2款相关约定</w:t>
      </w:r>
      <w:r>
        <w:rPr>
          <w:rFonts w:ascii="宋体" w:hAnsi="宋体"/>
          <w:color w:val="auto"/>
          <w:kern w:val="0"/>
          <w:szCs w:val="21"/>
          <w:highlight w:val="none"/>
        </w:rPr>
        <w:t>。</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16.2.2承包人违约的责任</w:t>
      </w:r>
    </w:p>
    <w:p>
      <w:pPr>
        <w:spacing w:line="400" w:lineRule="exact"/>
        <w:ind w:firstLine="440" w:firstLineChars="200"/>
        <w:jc w:val="left"/>
        <w:rPr>
          <w:rFonts w:ascii="宋体" w:hAnsi="宋体"/>
          <w:color w:val="auto"/>
          <w:kern w:val="0"/>
          <w:szCs w:val="21"/>
          <w:highlight w:val="none"/>
        </w:rPr>
      </w:pPr>
      <w:r>
        <w:rPr>
          <w:rFonts w:ascii="宋体" w:hAnsi="宋体"/>
          <w:color w:val="auto"/>
          <w:kern w:val="0"/>
          <w:szCs w:val="21"/>
          <w:highlight w:val="none"/>
        </w:rPr>
        <w:t>承包人违约责任的承担方式和计算方法：</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①承包人应向发包人和监理单位提供月进度计划，若承包人月施工工期无故延迟达3天及以上，发包人将签发整改通知书，责令承包人限期抢回，并暂扣承包人30％的月应付工程进度款，待工期抢回后，再还暂扣款。</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②为了确保工程质量，督促承包人严格按国家有关规定，精心组织施工，本工程设置了履约保证金，承包人在合同签订前提交。发包人有权对施工中出现的工程质量事故或质量缺陷给予一定的经济处罚，承包人承担因此给发包人造成的一切经济损失，直至追究法律责任。</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③由于承包人原因工程质量达不到约定的质量标准，不合格的工程不予办理结算及支付工程款，并承担给发包人造成的一切经济损失，直至追究法律责任。</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④施工现场文明施工管理未达到国家有关标准及投标文件要求，发包人有权要求承包人按照安全文明施工费的20％承担违约责任。</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⑤因承包人原因不能按合同约定的日期或监理方和发包人签证同意顺延的工期竣工的，超过合同规定竣工日期，承包人向发包人支付赔偿金以2000元/日计算，最高赔偿金额不超过合同总价的3％。</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⑥承包人派出参加发包人有关会议的项目负责人员与投标文件承诺人员不符的，处以2000元/次罚款，累计超过3次的，暂停当期工程进度款支付（承包人按约定参加发包人有关会议方能继续支付款项）；累计超过5次的，视为承包人严重违约，发包人有权要求其承担合同价款3％的违约责任，并解除合同。</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⑦承包人应严格按照已批准的工程建设总计划组织施工。对于建设过程中的关键节点，发包人将根据专家组评审意见对承包人的工期节点提出督促和整改意见，承包人应严格执行，并采取一切有效措施，确保总工期目标的实现。承包人拒不接受整改意见或整改不力，发包人有权组织其他施工力量以确保工程目标的实现，由此而发生的所有费用均由承包人承担，同时并未免除承包人的任何责任，工期亦不予顺延。</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⑧在施工期间如因承包人原因发生质量或安全事故，发包人有权勒令其退场，或减少其承包内容，所有损失由承包人承担；同时向发包人支付违约金：A、一般事故支付3000元违约金；B、较大事故支付1万元违约金；C、重大事故支付2万元违约金；D、特大事故支付5万元违约金。</w:t>
      </w:r>
    </w:p>
    <w:p>
      <w:pPr>
        <w:spacing w:line="400" w:lineRule="exact"/>
        <w:ind w:firstLine="44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⑨在本工程施工过程中以及质量保修内，由于承包人施工质量问题、安全事故、劳务纠纷、拖欠民工工资等，受到报纸、电视等媒体的曝光或政府有关主管部门的通报批评，给发包人的形象和声誉造成损失，每发生一次则由承包人向发包人支付2万元作为违约金，并应采取积极措施消除不良影响。</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16.2.3因承包人违约解除合同</w:t>
      </w:r>
    </w:p>
    <w:p>
      <w:pPr>
        <w:spacing w:line="400" w:lineRule="exact"/>
        <w:ind w:firstLine="440" w:firstLineChars="200"/>
        <w:rPr>
          <w:rFonts w:ascii="宋体" w:hAnsi="宋体"/>
          <w:color w:val="auto"/>
          <w:kern w:val="0"/>
          <w:szCs w:val="21"/>
          <w:highlight w:val="none"/>
          <w:u w:val="single"/>
        </w:rPr>
      </w:pPr>
      <w:r>
        <w:rPr>
          <w:rFonts w:ascii="宋体" w:hAnsi="宋体"/>
          <w:color w:val="auto"/>
          <w:kern w:val="0"/>
          <w:szCs w:val="21"/>
          <w:highlight w:val="none"/>
        </w:rPr>
        <w:t>关于承包人违约解除合同的特别约定：</w:t>
      </w:r>
      <w:r>
        <w:rPr>
          <w:rFonts w:hint="eastAsia" w:ascii="宋体" w:hAnsi="宋体"/>
          <w:color w:val="auto"/>
          <w:kern w:val="0"/>
          <w:szCs w:val="21"/>
          <w:highlight w:val="none"/>
          <w:u w:val="single"/>
        </w:rPr>
        <w:t>承包人有下列情形之一者，发包人可以解除合同：</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①承包人未能在规定的开工期限内开工，经监理工程师催告后的3天内仍未开工的；</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②进度计划未标明有停工而且监理工程师也未授权停工，但承包人停止施工时间持续达5天或累计停止施工时间达15天的；</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③承包人破产或清偿的，但为机构重组或联合的目的除外；</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④承包人拖延完工而可偿付的误期赔偿费已达专用条款约定最高限额的；</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⑤承包人明确表示不履行合同规定主要义务的；</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⑥承包人未遵守合同约定或监理工程师的指令，经监理工程师书面指出后仍未按要求改正的；</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⑦承包人在投标过程中或履行合同期间参与欺诈行为的；</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⑧承包人转包工程、违法分包或未经许可擅自分包工程的；</w:t>
      </w:r>
    </w:p>
    <w:p>
      <w:pPr>
        <w:spacing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⑨合同约定的承包人严重违约的其他情形。</w:t>
      </w:r>
    </w:p>
    <w:p>
      <w:pPr>
        <w:spacing w:before="120" w:after="120"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在这种情况下，发包人可自行委派第三方实施、完成合同工程或其任何部分，并可使用留下的承包人施工机械、周转性材料和临时工程，直至完工为止。所发生的实际费用由承包人全部承担，同时并未免除承包人的任何责任。</w:t>
      </w:r>
    </w:p>
    <w:p>
      <w:pPr>
        <w:spacing w:before="120" w:after="120" w:line="400" w:lineRule="exact"/>
        <w:ind w:firstLine="44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本合同提前终止的，承包人应在收到发包人退场通知之日起3个工作日之内无条件交清所有工程资料，10个工作日内交清所有已完成的工程量清单。若需要承包人配合在相关部门办理施工单位变更等相关手续的，承包人应当无条件根据发包人要求配合办理。承包人逾期未能按本条约定交清所有的工程资料，已完成的工程量清单、退场等义务，应向发包人支付2万元/日作为违约金，造成发包人其他损失，承包人还必须予以赔偿。</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发包人</w:t>
      </w:r>
      <w:r>
        <w:rPr>
          <w:rFonts w:hint="eastAsia" w:ascii="宋体" w:hAnsi="宋体"/>
          <w:color w:val="auto"/>
          <w:kern w:val="0"/>
          <w:szCs w:val="21"/>
          <w:highlight w:val="none"/>
        </w:rPr>
        <w:t>继续</w:t>
      </w:r>
      <w:r>
        <w:rPr>
          <w:rFonts w:ascii="宋体" w:hAnsi="宋体"/>
          <w:color w:val="auto"/>
          <w:kern w:val="0"/>
          <w:szCs w:val="21"/>
          <w:highlight w:val="none"/>
        </w:rPr>
        <w:t>使用承包人在施工现场的材料、设备、临时工程、承包人文件和由承包人或以其名义编制的其他文件</w:t>
      </w:r>
      <w:r>
        <w:rPr>
          <w:rFonts w:hint="eastAsia" w:ascii="宋体" w:hAnsi="宋体"/>
          <w:color w:val="auto"/>
          <w:kern w:val="0"/>
          <w:szCs w:val="21"/>
          <w:highlight w:val="none"/>
        </w:rPr>
        <w:t>的费用承担方式</w:t>
      </w:r>
      <w:r>
        <w:rPr>
          <w:rFonts w:ascii="宋体" w:hAnsi="宋体"/>
          <w:color w:val="auto"/>
          <w:kern w:val="0"/>
          <w:szCs w:val="21"/>
          <w:highlight w:val="none"/>
        </w:rPr>
        <w:t>：</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bookmarkStart w:id="567" w:name="_Toc500157634"/>
      <w:r>
        <w:rPr>
          <w:rFonts w:ascii="宋体" w:hAnsi="宋体"/>
          <w:color w:val="auto"/>
          <w:kern w:val="0"/>
          <w:szCs w:val="21"/>
          <w:highlight w:val="none"/>
        </w:rPr>
        <w:t>17.不可抗力</w:t>
      </w:r>
      <w:bookmarkEnd w:id="563"/>
      <w:bookmarkEnd w:id="567"/>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17.1不可抗力的确认</w:t>
      </w:r>
    </w:p>
    <w:p>
      <w:pPr>
        <w:spacing w:line="400" w:lineRule="exact"/>
        <w:ind w:firstLine="440" w:firstLineChars="200"/>
        <w:rPr>
          <w:rFonts w:ascii="宋体" w:hAnsi="宋体"/>
          <w:color w:val="auto"/>
          <w:kern w:val="0"/>
          <w:szCs w:val="21"/>
          <w:highlight w:val="none"/>
          <w:u w:val="single"/>
        </w:rPr>
      </w:pPr>
      <w:r>
        <w:rPr>
          <w:rFonts w:ascii="宋体" w:hAnsi="宋体"/>
          <w:color w:val="auto"/>
          <w:kern w:val="0"/>
          <w:szCs w:val="21"/>
          <w:highlight w:val="none"/>
        </w:rPr>
        <w:t>除通用合同条</w:t>
      </w:r>
      <w:r>
        <w:rPr>
          <w:rFonts w:ascii="宋体" w:hAnsi="宋体"/>
          <w:color w:val="auto"/>
          <w:szCs w:val="21"/>
          <w:highlight w:val="none"/>
        </w:rPr>
        <w:t>款约定的不可抗力事件之外，视为不可抗力的其他情形：</w:t>
      </w:r>
      <w:r>
        <w:rPr>
          <w:rFonts w:hint="eastAsia" w:ascii="宋体" w:hAnsi="宋体"/>
          <w:color w:val="auto"/>
          <w:szCs w:val="21"/>
          <w:highlight w:val="none"/>
          <w:u w:val="single"/>
        </w:rPr>
        <w:t xml:space="preserve">   /   </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bookmarkStart w:id="568" w:name="_Toc500157635"/>
      <w:r>
        <w:rPr>
          <w:rFonts w:ascii="宋体" w:hAnsi="宋体"/>
          <w:color w:val="auto"/>
          <w:kern w:val="0"/>
          <w:szCs w:val="21"/>
          <w:highlight w:val="none"/>
        </w:rPr>
        <w:t>17.4因不可抗力解除合同</w:t>
      </w:r>
      <w:bookmarkEnd w:id="568"/>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合同解除后</w:t>
      </w:r>
      <w:r>
        <w:rPr>
          <w:rFonts w:ascii="宋体" w:hAnsi="宋体"/>
          <w:color w:val="auto"/>
          <w:szCs w:val="21"/>
          <w:highlight w:val="none"/>
        </w:rPr>
        <w:t>，发包人应在商定或确定发包人应支付款项后</w:t>
      </w:r>
      <w:r>
        <w:rPr>
          <w:rFonts w:hint="eastAsia" w:ascii="宋体" w:hAnsi="宋体"/>
          <w:color w:val="auto"/>
          <w:szCs w:val="21"/>
          <w:highlight w:val="none"/>
          <w:u w:val="single"/>
        </w:rPr>
        <w:t>28</w:t>
      </w:r>
      <w:r>
        <w:rPr>
          <w:rFonts w:ascii="宋体" w:hAnsi="宋体"/>
          <w:color w:val="auto"/>
          <w:szCs w:val="21"/>
          <w:highlight w:val="none"/>
        </w:rPr>
        <w:t>天内完成款项的支付。</w:t>
      </w:r>
    </w:p>
    <w:p>
      <w:pPr>
        <w:spacing w:line="400" w:lineRule="exact"/>
        <w:ind w:firstLine="440" w:firstLineChars="200"/>
        <w:rPr>
          <w:rFonts w:ascii="宋体" w:hAnsi="宋体"/>
          <w:color w:val="auto"/>
          <w:kern w:val="0"/>
          <w:szCs w:val="21"/>
          <w:highlight w:val="none"/>
        </w:rPr>
      </w:pPr>
      <w:bookmarkStart w:id="569" w:name="_Toc500157636"/>
      <w:r>
        <w:rPr>
          <w:rFonts w:ascii="宋体" w:hAnsi="宋体"/>
          <w:color w:val="auto"/>
          <w:kern w:val="0"/>
          <w:szCs w:val="21"/>
          <w:highlight w:val="none"/>
        </w:rPr>
        <w:t>18.保险</w:t>
      </w:r>
      <w:bookmarkEnd w:id="569"/>
    </w:p>
    <w:bookmarkEnd w:id="564"/>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18.1工程保险</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关于工程保险的特别约定：</w:t>
      </w:r>
    </w:p>
    <w:p>
      <w:pPr>
        <w:spacing w:line="400" w:lineRule="exact"/>
        <w:ind w:firstLine="44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①承包人按照约定向双方同意的保险人投保建筑工程一切险或安装工程一切险等保险。</w:t>
      </w:r>
    </w:p>
    <w:p>
      <w:pPr>
        <w:spacing w:line="400" w:lineRule="exact"/>
        <w:ind w:firstLine="44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②承包人必须依法严格履行为职工和从业人员办理工伤保险，缴纳工伤保险费、意外伤害保险的法定义务，为施工期间指定的工作和生活区域内从事与建筑施工直接相关工作的作业人员和管理人员办理工伤保险、建筑意外伤害保险。</w:t>
      </w:r>
    </w:p>
    <w:p>
      <w:pPr>
        <w:spacing w:line="400" w:lineRule="exact"/>
        <w:ind w:firstLine="44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③其他实施建筑意外伤害保险内容按云建管〔2007〕105号文《关于加强我市建筑意外伤害保险工作的意见》、《印发〈广东省建筑意外伤害保险工作导则〉的通知》（粤建管字[2004]132号）等文件规定办理。</w:t>
      </w:r>
    </w:p>
    <w:p>
      <w:pPr>
        <w:spacing w:line="400" w:lineRule="exact"/>
        <w:ind w:firstLine="44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④承包人必须购买整个施工期间全部现场机构雇用人员的人身意外伤害险（即建筑工程施工人员团体人身意外保险），所有保险费用由承包人承担。保险已含在合同价内，发包人不另行支付。工程所在地建设主管部门要求承包人必须办理的险种，该险种的保险费用已含在本合同价中；在本合同工程的施工和缺陷修复过程中，发包人对承包人雇员的人身死亡或伤残，或财产(设备)的损失或损害不予赔偿；发包人也不承担承包人与此有关的索赔、损害、赔偿及诉讼等费用和其他任何法律责任。</w:t>
      </w:r>
    </w:p>
    <w:p>
      <w:pPr>
        <w:spacing w:line="400" w:lineRule="exact"/>
        <w:ind w:firstLine="440" w:firstLineChars="200"/>
        <w:rPr>
          <w:rFonts w:ascii="宋体" w:hAnsi="宋体"/>
          <w:color w:val="auto"/>
          <w:szCs w:val="21"/>
          <w:highlight w:val="none"/>
        </w:rPr>
      </w:pPr>
      <w:r>
        <w:rPr>
          <w:rFonts w:hint="eastAsia" w:ascii="宋体" w:hAnsi="宋体"/>
          <w:color w:val="auto"/>
          <w:kern w:val="0"/>
          <w:szCs w:val="21"/>
          <w:highlight w:val="none"/>
          <w:u w:val="single"/>
        </w:rPr>
        <w:t>⑤工伤保险按《建筑业工伤保险条例》（云人社发[2015]188号）及《广东省工伤保险条例》执行</w:t>
      </w:r>
      <w:r>
        <w:rPr>
          <w:rFonts w:ascii="宋体" w:hAnsi="宋体"/>
          <w:color w:val="auto"/>
          <w:kern w:val="0"/>
          <w:szCs w:val="21"/>
          <w:highlight w:val="none"/>
        </w:rPr>
        <w:t>。</w:t>
      </w:r>
    </w:p>
    <w:p>
      <w:pPr>
        <w:spacing w:line="400" w:lineRule="exact"/>
        <w:ind w:firstLine="440" w:firstLineChars="200"/>
        <w:rPr>
          <w:rFonts w:ascii="宋体" w:hAnsi="宋体"/>
          <w:color w:val="auto"/>
          <w:kern w:val="0"/>
          <w:szCs w:val="21"/>
          <w:highlight w:val="none"/>
        </w:rPr>
      </w:pPr>
      <w:bookmarkStart w:id="570" w:name="_Toc500157637"/>
      <w:r>
        <w:rPr>
          <w:rFonts w:ascii="宋体" w:hAnsi="宋体"/>
          <w:color w:val="auto"/>
          <w:kern w:val="0"/>
          <w:szCs w:val="21"/>
          <w:highlight w:val="none"/>
        </w:rPr>
        <w:t>18.3其他保险</w:t>
      </w:r>
      <w:bookmarkEnd w:id="570"/>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关于其他</w:t>
      </w:r>
      <w:r>
        <w:rPr>
          <w:rFonts w:ascii="宋体" w:hAnsi="宋体"/>
          <w:color w:val="auto"/>
          <w:szCs w:val="21"/>
          <w:highlight w:val="none"/>
        </w:rPr>
        <w:t>保险的约定：</w:t>
      </w:r>
    </w:p>
    <w:p>
      <w:pPr>
        <w:spacing w:line="400" w:lineRule="exact"/>
        <w:ind w:firstLine="44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u w:val="single"/>
        </w:rPr>
        <w:t>①由于按合同条款规定的任何一种已投保的不可抗力（或发包人风险）造成的损失或损害，承包人应在事故发生后及时报告监理人和保险公司并向保险公司提出索赔。不能从保险公司收回的免赔额部分由承包人自己承担。</w:t>
      </w:r>
    </w:p>
    <w:p>
      <w:pPr>
        <w:spacing w:line="400" w:lineRule="exact"/>
        <w:ind w:firstLine="44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u w:val="single"/>
        </w:rPr>
        <w:t>②在工程施工期间，如因承包人未购买保险，而造成人员或设备的损害时，发包人有权由工程进度款中扣除相应金额（按照国家相关标准）向当事人代为赔偿。</w:t>
      </w:r>
    </w:p>
    <w:p>
      <w:pPr>
        <w:spacing w:line="400" w:lineRule="exact"/>
        <w:ind w:firstLine="440" w:firstLineChars="200"/>
        <w:jc w:val="left"/>
        <w:rPr>
          <w:rFonts w:ascii="宋体" w:hAnsi="宋体"/>
          <w:color w:val="auto"/>
          <w:szCs w:val="21"/>
          <w:highlight w:val="none"/>
          <w:u w:val="single"/>
        </w:rPr>
      </w:pPr>
      <w:r>
        <w:rPr>
          <w:rFonts w:hint="eastAsia" w:ascii="宋体" w:hAnsi="宋体"/>
          <w:color w:val="auto"/>
          <w:kern w:val="0"/>
          <w:szCs w:val="21"/>
          <w:highlight w:val="none"/>
          <w:u w:val="single"/>
        </w:rPr>
        <w:t>承包人是否应为其施工设备等办理财产保险：执行住房城乡建设部、国家工商行政管理总局制定的《建设工程施工合同（示范文本）》（GF-2017-0201）通用条款要求</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r>
        <w:rPr>
          <w:rFonts w:ascii="宋体" w:hAnsi="宋体"/>
          <w:color w:val="auto"/>
          <w:kern w:val="0"/>
          <w:szCs w:val="21"/>
          <w:highlight w:val="none"/>
        </w:rPr>
        <w:t>18.7通知义务</w:t>
      </w:r>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关于变更保险合同时的通知义务的约定：</w:t>
      </w:r>
      <w:r>
        <w:rPr>
          <w:rFonts w:hint="eastAsia" w:ascii="宋体" w:hAnsi="宋体"/>
          <w:color w:val="auto"/>
          <w:szCs w:val="21"/>
          <w:highlight w:val="none"/>
          <w:u w:val="single"/>
        </w:rPr>
        <w:t>如有，双方协商</w:t>
      </w:r>
      <w:r>
        <w:rPr>
          <w:rFonts w:ascii="宋体" w:hAnsi="宋体"/>
          <w:color w:val="auto"/>
          <w:szCs w:val="21"/>
          <w:highlight w:val="none"/>
        </w:rPr>
        <w:t>。</w:t>
      </w:r>
    </w:p>
    <w:bookmarkEnd w:id="536"/>
    <w:bookmarkEnd w:id="537"/>
    <w:bookmarkEnd w:id="538"/>
    <w:bookmarkEnd w:id="539"/>
    <w:bookmarkEnd w:id="540"/>
    <w:bookmarkEnd w:id="541"/>
    <w:bookmarkEnd w:id="542"/>
    <w:bookmarkEnd w:id="543"/>
    <w:bookmarkEnd w:id="544"/>
    <w:bookmarkEnd w:id="545"/>
    <w:bookmarkEnd w:id="546"/>
    <w:bookmarkEnd w:id="547"/>
    <w:p>
      <w:pPr>
        <w:spacing w:line="400" w:lineRule="exact"/>
        <w:ind w:firstLine="440" w:firstLineChars="200"/>
        <w:rPr>
          <w:rFonts w:ascii="宋体" w:hAnsi="宋体"/>
          <w:color w:val="auto"/>
          <w:kern w:val="0"/>
          <w:szCs w:val="21"/>
          <w:highlight w:val="none"/>
        </w:rPr>
      </w:pPr>
      <w:bookmarkStart w:id="571" w:name="_Toc500157638"/>
      <w:r>
        <w:rPr>
          <w:rFonts w:ascii="宋体" w:hAnsi="宋体"/>
          <w:color w:val="auto"/>
          <w:kern w:val="0"/>
          <w:szCs w:val="21"/>
          <w:highlight w:val="none"/>
        </w:rPr>
        <w:t>20.争议解决</w:t>
      </w:r>
      <w:bookmarkEnd w:id="571"/>
    </w:p>
    <w:bookmarkEnd w:id="548"/>
    <w:bookmarkEnd w:id="549"/>
    <w:p>
      <w:pPr>
        <w:spacing w:line="400" w:lineRule="exact"/>
        <w:ind w:firstLine="440" w:firstLineChars="200"/>
        <w:rPr>
          <w:rFonts w:ascii="宋体" w:hAnsi="宋体"/>
          <w:color w:val="auto"/>
          <w:kern w:val="0"/>
          <w:szCs w:val="21"/>
          <w:highlight w:val="none"/>
        </w:rPr>
      </w:pPr>
      <w:bookmarkStart w:id="572" w:name="_Toc500157639"/>
      <w:r>
        <w:rPr>
          <w:rFonts w:ascii="宋体" w:hAnsi="宋体"/>
          <w:color w:val="auto"/>
          <w:kern w:val="0"/>
          <w:szCs w:val="21"/>
          <w:highlight w:val="none"/>
        </w:rPr>
        <w:t>20.3争</w:t>
      </w:r>
      <w:bookmarkEnd w:id="550"/>
      <w:r>
        <w:rPr>
          <w:rFonts w:ascii="宋体" w:hAnsi="宋体"/>
          <w:color w:val="auto"/>
          <w:kern w:val="0"/>
          <w:szCs w:val="21"/>
          <w:highlight w:val="none"/>
        </w:rPr>
        <w:t>议评审</w:t>
      </w:r>
      <w:bookmarkEnd w:id="572"/>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合同当</w:t>
      </w:r>
      <w:r>
        <w:rPr>
          <w:rFonts w:ascii="宋体" w:hAnsi="宋体"/>
          <w:color w:val="auto"/>
          <w:szCs w:val="21"/>
          <w:highlight w:val="none"/>
        </w:rPr>
        <w:t>事人是否同意将工程争议提交争议评审小组决</w:t>
      </w:r>
      <w:r>
        <w:rPr>
          <w:rFonts w:hint="eastAsia" w:ascii="宋体" w:hAnsi="宋体"/>
          <w:color w:val="auto"/>
          <w:szCs w:val="21"/>
          <w:highlight w:val="none"/>
        </w:rPr>
        <w:t>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573" w:name="_Toc500157640"/>
      <w:r>
        <w:rPr>
          <w:rFonts w:ascii="宋体" w:hAnsi="宋体"/>
          <w:color w:val="auto"/>
          <w:kern w:val="0"/>
          <w:szCs w:val="21"/>
          <w:highlight w:val="none"/>
        </w:rPr>
        <w:t>20.3.1争议评审小组的确定</w:t>
      </w:r>
      <w:bookmarkEnd w:id="573"/>
    </w:p>
    <w:p>
      <w:pPr>
        <w:spacing w:line="400" w:lineRule="exact"/>
        <w:ind w:firstLine="440" w:firstLineChars="200"/>
        <w:rPr>
          <w:rFonts w:ascii="宋体" w:hAnsi="宋体"/>
          <w:color w:val="auto"/>
          <w:szCs w:val="21"/>
          <w:highlight w:val="none"/>
          <w:u w:val="single"/>
        </w:rPr>
      </w:pPr>
      <w:r>
        <w:rPr>
          <w:rFonts w:ascii="宋体" w:hAnsi="宋体"/>
          <w:color w:val="auto"/>
          <w:kern w:val="0"/>
          <w:szCs w:val="21"/>
          <w:highlight w:val="none"/>
        </w:rPr>
        <w:t>争议评</w:t>
      </w:r>
      <w:r>
        <w:rPr>
          <w:rFonts w:ascii="宋体" w:hAnsi="宋体"/>
          <w:color w:val="auto"/>
          <w:szCs w:val="21"/>
          <w:highlight w:val="none"/>
        </w:rPr>
        <w:t>审小组成员的确定：</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574" w:name="_Toc500157641"/>
      <w:r>
        <w:rPr>
          <w:rFonts w:ascii="宋体" w:hAnsi="宋体"/>
          <w:color w:val="auto"/>
          <w:kern w:val="0"/>
          <w:szCs w:val="21"/>
          <w:highlight w:val="none"/>
        </w:rPr>
        <w:t>20.3.2争议评审小组的决定</w:t>
      </w:r>
      <w:bookmarkEnd w:id="574"/>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合同当</w:t>
      </w:r>
      <w:r>
        <w:rPr>
          <w:rFonts w:ascii="宋体" w:hAnsi="宋体"/>
          <w:color w:val="auto"/>
          <w:szCs w:val="21"/>
          <w:highlight w:val="none"/>
        </w:rPr>
        <w:t>事人关于本项的约定：</w:t>
      </w:r>
      <w:r>
        <w:rPr>
          <w:rFonts w:hint="eastAsia" w:ascii="宋体" w:hAnsi="宋体"/>
          <w:color w:val="auto"/>
          <w:szCs w:val="21"/>
          <w:highlight w:val="none"/>
          <w:u w:val="single"/>
        </w:rPr>
        <w:t xml:space="preserve">   /   </w:t>
      </w:r>
      <w:r>
        <w:rPr>
          <w:rFonts w:ascii="宋体" w:hAnsi="宋体"/>
          <w:color w:val="auto"/>
          <w:szCs w:val="21"/>
          <w:highlight w:val="none"/>
        </w:rPr>
        <w:t>。</w:t>
      </w:r>
    </w:p>
    <w:p>
      <w:pPr>
        <w:spacing w:line="400" w:lineRule="exact"/>
        <w:ind w:firstLine="440" w:firstLineChars="200"/>
        <w:rPr>
          <w:rFonts w:ascii="宋体" w:hAnsi="宋体"/>
          <w:color w:val="auto"/>
          <w:kern w:val="0"/>
          <w:szCs w:val="21"/>
          <w:highlight w:val="none"/>
        </w:rPr>
      </w:pPr>
      <w:bookmarkStart w:id="575" w:name="_Toc500157642"/>
      <w:r>
        <w:rPr>
          <w:rFonts w:ascii="宋体" w:hAnsi="宋体"/>
          <w:color w:val="auto"/>
          <w:kern w:val="0"/>
          <w:szCs w:val="21"/>
          <w:highlight w:val="none"/>
        </w:rPr>
        <w:t>20.4仲裁或诉讼</w:t>
      </w:r>
      <w:bookmarkEnd w:id="551"/>
      <w:bookmarkEnd w:id="575"/>
    </w:p>
    <w:p>
      <w:pPr>
        <w:spacing w:line="400" w:lineRule="exact"/>
        <w:ind w:firstLine="440" w:firstLineChars="200"/>
        <w:rPr>
          <w:rFonts w:ascii="宋体" w:hAnsi="宋体"/>
          <w:color w:val="auto"/>
          <w:szCs w:val="21"/>
          <w:highlight w:val="none"/>
        </w:rPr>
      </w:pPr>
      <w:r>
        <w:rPr>
          <w:rFonts w:ascii="宋体" w:hAnsi="宋体"/>
          <w:color w:val="auto"/>
          <w:kern w:val="0"/>
          <w:szCs w:val="21"/>
          <w:highlight w:val="none"/>
        </w:rPr>
        <w:t>因合同及合</w:t>
      </w:r>
      <w:r>
        <w:rPr>
          <w:rFonts w:ascii="宋体" w:hAnsi="宋体"/>
          <w:color w:val="auto"/>
          <w:szCs w:val="21"/>
          <w:highlight w:val="none"/>
        </w:rPr>
        <w:t>同有关事项发生的争议，按下列第</w:t>
      </w:r>
      <w:r>
        <w:rPr>
          <w:rFonts w:hint="eastAsia" w:ascii="宋体" w:hAnsi="宋体"/>
          <w:color w:val="auto"/>
          <w:szCs w:val="21"/>
          <w:highlight w:val="none"/>
          <w:u w:val="single"/>
        </w:rPr>
        <w:t>（2）</w:t>
      </w:r>
      <w:r>
        <w:rPr>
          <w:rFonts w:ascii="宋体" w:hAnsi="宋体"/>
          <w:color w:val="auto"/>
          <w:szCs w:val="21"/>
          <w:highlight w:val="none"/>
        </w:rPr>
        <w:t>种方式</w:t>
      </w:r>
      <w:r>
        <w:rPr>
          <w:rFonts w:hint="eastAsia" w:ascii="宋体" w:hAnsi="宋体"/>
          <w:color w:val="auto"/>
          <w:szCs w:val="21"/>
          <w:highlight w:val="none"/>
        </w:rPr>
        <w:t>解</w:t>
      </w:r>
      <w:r>
        <w:rPr>
          <w:rFonts w:ascii="宋体" w:hAnsi="宋体"/>
          <w:color w:val="auto"/>
          <w:szCs w:val="21"/>
          <w:highlight w:val="none"/>
        </w:rPr>
        <w:t>决：</w:t>
      </w:r>
    </w:p>
    <w:p>
      <w:pPr>
        <w:spacing w:line="400" w:lineRule="exact"/>
        <w:ind w:firstLine="440" w:firstLineChars="200"/>
        <w:jc w:val="left"/>
        <w:rPr>
          <w:rFonts w:ascii="宋体" w:hAnsi="宋体"/>
          <w:color w:val="auto"/>
          <w:szCs w:val="21"/>
          <w:highlight w:val="none"/>
        </w:rPr>
      </w:pPr>
      <w:r>
        <w:rPr>
          <w:rFonts w:ascii="宋体" w:hAnsi="宋体"/>
          <w:color w:val="auto"/>
          <w:szCs w:val="21"/>
          <w:highlight w:val="none"/>
        </w:rPr>
        <w:t>（1）向仲裁委员会申请仲裁；</w:t>
      </w:r>
    </w:p>
    <w:p>
      <w:pPr>
        <w:ind w:firstLine="440" w:firstLineChars="200"/>
        <w:rPr>
          <w:rFonts w:ascii="宋体" w:hAnsi="宋体"/>
          <w:color w:val="auto"/>
          <w:highlight w:val="none"/>
        </w:rPr>
      </w:pPr>
      <w:r>
        <w:rPr>
          <w:rFonts w:ascii="宋体" w:hAnsi="宋体"/>
          <w:color w:val="auto"/>
          <w:szCs w:val="21"/>
          <w:highlight w:val="none"/>
        </w:rPr>
        <w:t>（2）向</w:t>
      </w:r>
      <w:r>
        <w:rPr>
          <w:rFonts w:hint="eastAsia" w:ascii="宋体" w:hAnsi="宋体"/>
          <w:color w:val="auto"/>
          <w:szCs w:val="21"/>
          <w:highlight w:val="none"/>
          <w:u w:val="single"/>
        </w:rPr>
        <w:t>工程所在地有管辖权</w:t>
      </w:r>
      <w:r>
        <w:rPr>
          <w:rFonts w:ascii="宋体" w:hAnsi="宋体"/>
          <w:color w:val="auto"/>
          <w:szCs w:val="21"/>
          <w:highlight w:val="none"/>
        </w:rPr>
        <w:t>人民法院起诉。</w:t>
      </w:r>
      <w:bookmarkEnd w:id="552"/>
      <w:bookmarkEnd w:id="553"/>
      <w:bookmarkEnd w:id="554"/>
      <w:bookmarkEnd w:id="555"/>
      <w:bookmarkEnd w:id="556"/>
      <w:bookmarkEnd w:id="557"/>
    </w:p>
    <w:p>
      <w:pPr>
        <w:rPr>
          <w:rFonts w:hint="eastAsia" w:ascii="宋体" w:hAnsi="宋体"/>
          <w:b/>
          <w:color w:val="auto"/>
          <w:sz w:val="24"/>
          <w:highlight w:val="none"/>
        </w:rPr>
      </w:pPr>
      <w:r>
        <w:rPr>
          <w:rFonts w:ascii="宋体" w:hAnsi="宋体"/>
          <w:color w:val="auto"/>
          <w:highlight w:val="none"/>
        </w:rPr>
        <w:br w:type="page"/>
      </w:r>
      <w:r>
        <w:rPr>
          <w:rFonts w:hint="eastAsia" w:ascii="宋体" w:hAnsi="宋体"/>
          <w:b/>
          <w:color w:val="auto"/>
          <w:sz w:val="24"/>
          <w:highlight w:val="none"/>
        </w:rPr>
        <w:t>附件一</w:t>
      </w:r>
    </w:p>
    <w:p>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工程质量保修书</w:t>
      </w:r>
    </w:p>
    <w:p>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发包人：（全称）</w:t>
      </w:r>
      <w:r>
        <w:rPr>
          <w:rFonts w:hint="eastAsia"/>
          <w:color w:val="auto"/>
          <w:szCs w:val="21"/>
          <w:highlight w:val="none"/>
          <w:u w:val="single"/>
          <w:lang w:eastAsia="zh-CN"/>
        </w:rPr>
        <w:t>云浮美神养殖有限公司</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为保证</w:t>
      </w:r>
      <w:r>
        <w:rPr>
          <w:rFonts w:hint="eastAsia"/>
          <w:color w:val="auto"/>
          <w:szCs w:val="21"/>
          <w:highlight w:val="none"/>
          <w:u w:val="single"/>
          <w:lang w:eastAsia="zh-CN"/>
        </w:rPr>
        <w:t>云安区生猪产业园—优质生猪标准化规模养殖基地项目</w:t>
      </w:r>
      <w:r>
        <w:rPr>
          <w:rFonts w:hint="eastAsia" w:ascii="宋体" w:hAnsi="宋体"/>
          <w:color w:val="auto"/>
          <w:szCs w:val="21"/>
          <w:highlight w:val="none"/>
        </w:rPr>
        <w:t>（工程名称）在合理使用期限内正常使用，发包人和承包人根据《中华人民共和国建筑法》和《建设工程质量管理条例》，经协商一致，签订工程质量保修书。承包人在质量保修期内应按照有关规定及双方约定承担工程质量保修责任。</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一、质量保修范围</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二、质量保修期</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2.1 质量保修期从工程实际竣工验收合格之日算起。单项竣工验收的工程，按单项工程分别计算质量保修期。</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2.2 双方根据《建设工程质量管理条例》及有关规定，约定本工程质量保修期如下：</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1、</w:t>
      </w:r>
      <w:r>
        <w:rPr>
          <w:rFonts w:hint="eastAsia" w:ascii="宋体" w:hAnsi="宋体" w:cs="Arial"/>
          <w:color w:val="auto"/>
          <w:szCs w:val="21"/>
          <w:highlight w:val="none"/>
          <w:shd w:val="clear" w:color="auto" w:fill="FFFFFF"/>
        </w:rPr>
        <w:t>基础设施工程、房屋建筑</w:t>
      </w:r>
      <w:r>
        <w:rPr>
          <w:rFonts w:hint="eastAsia" w:ascii="宋体" w:hAnsi="宋体"/>
          <w:color w:val="auto"/>
          <w:szCs w:val="21"/>
          <w:highlight w:val="none"/>
        </w:rPr>
        <w:t>的</w:t>
      </w:r>
      <w:r>
        <w:rPr>
          <w:rFonts w:ascii="宋体" w:hAnsi="宋体"/>
          <w:color w:val="auto"/>
          <w:szCs w:val="21"/>
          <w:highlight w:val="none"/>
        </w:rPr>
        <w:fldChar w:fldCharType="begin"/>
      </w:r>
      <w:r>
        <w:rPr>
          <w:rFonts w:ascii="宋体" w:hAnsi="宋体"/>
          <w:color w:val="auto"/>
          <w:szCs w:val="21"/>
          <w:highlight w:val="none"/>
        </w:rPr>
        <w:instrText xml:space="preserve"> HYPERLINK "http://baike.baidu.com/view/2267867.htm" \t "http://baike.baidu.com/_blank" </w:instrText>
      </w:r>
      <w:r>
        <w:rPr>
          <w:rFonts w:ascii="宋体" w:hAnsi="宋体"/>
          <w:color w:val="auto"/>
          <w:szCs w:val="21"/>
          <w:highlight w:val="none"/>
        </w:rPr>
        <w:fldChar w:fldCharType="separate"/>
      </w:r>
      <w:r>
        <w:rPr>
          <w:rFonts w:ascii="宋体" w:hAnsi="宋体"/>
          <w:color w:val="auto"/>
          <w:szCs w:val="21"/>
          <w:highlight w:val="none"/>
        </w:rPr>
        <w:t>地基基础工程</w:t>
      </w:r>
      <w:r>
        <w:rPr>
          <w:rFonts w:ascii="宋体" w:hAnsi="宋体"/>
          <w:color w:val="auto"/>
          <w:szCs w:val="21"/>
          <w:highlight w:val="none"/>
        </w:rPr>
        <w:fldChar w:fldCharType="end"/>
      </w:r>
      <w:r>
        <w:rPr>
          <w:rFonts w:ascii="宋体" w:hAnsi="宋体"/>
          <w:color w:val="auto"/>
          <w:szCs w:val="21"/>
          <w:highlight w:val="none"/>
        </w:rPr>
        <w:t>和</w:t>
      </w:r>
      <w:r>
        <w:rPr>
          <w:rFonts w:ascii="宋体" w:hAnsi="宋体"/>
          <w:color w:val="auto"/>
          <w:szCs w:val="21"/>
          <w:highlight w:val="none"/>
        </w:rPr>
        <w:fldChar w:fldCharType="begin"/>
      </w:r>
      <w:r>
        <w:rPr>
          <w:rFonts w:ascii="宋体" w:hAnsi="宋体"/>
          <w:color w:val="auto"/>
          <w:szCs w:val="21"/>
          <w:highlight w:val="none"/>
        </w:rPr>
        <w:instrText xml:space="preserve"> HYPERLINK "http://baike.baidu.com/view/3930570.htm" \t "http://baike.baidu.com/_blank" </w:instrText>
      </w:r>
      <w:r>
        <w:rPr>
          <w:rFonts w:ascii="宋体" w:hAnsi="宋体"/>
          <w:color w:val="auto"/>
          <w:szCs w:val="21"/>
          <w:highlight w:val="none"/>
        </w:rPr>
        <w:fldChar w:fldCharType="separate"/>
      </w:r>
      <w:r>
        <w:rPr>
          <w:rFonts w:ascii="宋体" w:hAnsi="宋体"/>
          <w:color w:val="auto"/>
          <w:szCs w:val="21"/>
          <w:highlight w:val="none"/>
        </w:rPr>
        <w:t>主体结构工程</w:t>
      </w:r>
      <w:r>
        <w:rPr>
          <w:rFonts w:ascii="宋体" w:hAnsi="宋体"/>
          <w:color w:val="auto"/>
          <w:szCs w:val="21"/>
          <w:highlight w:val="none"/>
        </w:rPr>
        <w:fldChar w:fldCharType="end"/>
      </w:r>
      <w:r>
        <w:rPr>
          <w:rFonts w:ascii="宋体" w:hAnsi="宋体"/>
          <w:color w:val="auto"/>
          <w:szCs w:val="21"/>
          <w:highlight w:val="none"/>
        </w:rPr>
        <w:t>，</w:t>
      </w:r>
      <w:r>
        <w:rPr>
          <w:rFonts w:ascii="宋体" w:hAnsi="宋体" w:cs="Arial"/>
          <w:color w:val="auto"/>
          <w:szCs w:val="21"/>
          <w:highlight w:val="none"/>
          <w:shd w:val="clear" w:color="auto" w:fill="FFFFFF"/>
        </w:rPr>
        <w:t>为设计文件规定的该工程的合理使用年限；</w:t>
      </w:r>
      <w:r>
        <w:rPr>
          <w:rFonts w:hint="eastAsia" w:ascii="宋体" w:hAnsi="宋体" w:cs="Arial"/>
          <w:color w:val="auto"/>
          <w:szCs w:val="21"/>
          <w:highlight w:val="none"/>
          <w:shd w:val="clear" w:color="auto" w:fill="FFFFFF"/>
        </w:rPr>
        <w:t>2、屋面防水工程、有防水要求的卫生间、房间和外墙面的防渗漏为5年；</w:t>
      </w:r>
      <w:r>
        <w:rPr>
          <w:rFonts w:hint="eastAsia" w:ascii="宋体" w:hAnsi="宋体"/>
          <w:color w:val="auto"/>
          <w:szCs w:val="21"/>
          <w:highlight w:val="none"/>
        </w:rPr>
        <w:t>3、电气管线工程、给排水管道工程、设备安装工程为贰年；4、供热、供冷系统工程为贰个采暖期、供冷期；5、市政工程为贰年</w:t>
      </w:r>
      <w:r>
        <w:rPr>
          <w:rFonts w:hint="eastAsia" w:ascii="宋体" w:hAnsi="宋体"/>
          <w:color w:val="auto"/>
          <w:szCs w:val="21"/>
          <w:highlight w:val="none"/>
          <w:u w:val="none"/>
        </w:rPr>
        <w:t>；6、其他项目：</w:t>
      </w:r>
      <w:r>
        <w:rPr>
          <w:rFonts w:hint="eastAsia" w:cs="宋体"/>
          <w:color w:val="auto"/>
          <w:szCs w:val="21"/>
          <w:highlight w:val="none"/>
          <w:u w:val="none"/>
          <w:lang w:eastAsia="zh-CN"/>
        </w:rPr>
        <w:t>绿化工程为贰年</w:t>
      </w:r>
      <w:r>
        <w:rPr>
          <w:rFonts w:hint="eastAsia" w:ascii="宋体" w:hAnsi="宋体"/>
          <w:color w:val="auto"/>
          <w:szCs w:val="21"/>
          <w:highlight w:val="none"/>
          <w:u w:val="none"/>
        </w:rPr>
        <w:t>；</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三、 质量保修责任</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3.1  属于保修范围的项目，承包人应在接到通知后的2天内派人保修。承包人不在约定期限内派人保修，发包人可自行或指派第三方保修，保修费用从质量保证金内扣除。</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3.2  发生紧急抢修事故的，承包人在接到通知后，应立即到达事故现场抢修。</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3.4  质量保修完成后，由发包人组织验收。</w:t>
      </w:r>
    </w:p>
    <w:p>
      <w:pPr>
        <w:adjustRightInd w:val="0"/>
        <w:snapToGrid w:val="0"/>
        <w:spacing w:line="360" w:lineRule="auto"/>
        <w:ind w:left="480"/>
        <w:rPr>
          <w:rFonts w:ascii="宋体" w:hAnsi="宋体"/>
          <w:color w:val="auto"/>
          <w:szCs w:val="21"/>
          <w:highlight w:val="none"/>
        </w:rPr>
      </w:pPr>
      <w:r>
        <w:rPr>
          <w:rFonts w:hint="eastAsia" w:ascii="宋体" w:hAnsi="宋体"/>
          <w:color w:val="auto"/>
          <w:szCs w:val="21"/>
          <w:highlight w:val="none"/>
        </w:rPr>
        <w:t>四、 质量保修费用</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质量保修费用及相关的损害赔偿费，由造成质量缺陷的责任方承担。</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五、质量保证金</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质量保证金的使用、约定和支付与本合同第二部分《通用条款》第68条赋予的规定一致。</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六、  其它</w:t>
      </w: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6.1  双方约定的其它工程质量保修事项：</w:t>
      </w:r>
    </w:p>
    <w:p>
      <w:pPr>
        <w:adjustRightInd w:val="0"/>
        <w:snapToGrid w:val="0"/>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6.2  本工程质量保修书，由发包人承包人在工程竣工验收前签署，作为合同附件，其有效期限至保修期满。</w:t>
      </w:r>
    </w:p>
    <w:p>
      <w:pPr>
        <w:numPr>
          <w:ilvl w:val="0"/>
          <w:numId w:val="25"/>
        </w:numPr>
        <w:adjustRightInd w:val="0"/>
        <w:snapToGrid w:val="0"/>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合同法律效力</w:t>
      </w:r>
    </w:p>
    <w:p>
      <w:pPr>
        <w:adjustRightInd w:val="0"/>
        <w:snapToGrid w:val="0"/>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本合同作为</w:t>
      </w:r>
      <w:r>
        <w:rPr>
          <w:rFonts w:hint="eastAsia"/>
          <w:color w:val="auto"/>
          <w:szCs w:val="21"/>
          <w:highlight w:val="none"/>
          <w:u w:val="single"/>
          <w:lang w:eastAsia="zh-CN"/>
        </w:rPr>
        <w:t>云安区生猪产业园—优质生猪标准化规模养殖基地项目</w:t>
      </w:r>
      <w:r>
        <w:rPr>
          <w:rFonts w:hint="eastAsia" w:ascii="宋体" w:hAnsi="宋体"/>
          <w:color w:val="auto"/>
          <w:szCs w:val="21"/>
          <w:highlight w:val="none"/>
        </w:rPr>
        <w:t>合同的附件，与施工合同具有同等的法律效力，经双方签署后生效。</w:t>
      </w:r>
    </w:p>
    <w:p>
      <w:pPr>
        <w:adjustRightInd w:val="0"/>
        <w:snapToGrid w:val="0"/>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八、份数</w:t>
      </w:r>
    </w:p>
    <w:p>
      <w:pPr>
        <w:adjustRightInd w:val="0"/>
        <w:snapToGrid w:val="0"/>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本保修书壹式</w:t>
      </w:r>
      <w:r>
        <w:rPr>
          <w:rFonts w:hint="eastAsia"/>
          <w:color w:val="auto"/>
          <w:szCs w:val="21"/>
          <w:highlight w:val="none"/>
          <w:u w:val="single"/>
          <w:lang w:val="en-US" w:eastAsia="zh-CN"/>
        </w:rPr>
        <w:t xml:space="preserve">    </w:t>
      </w:r>
      <w:r>
        <w:rPr>
          <w:rFonts w:hint="eastAsia" w:ascii="宋体" w:hAnsi="宋体"/>
          <w:color w:val="auto"/>
          <w:szCs w:val="21"/>
          <w:highlight w:val="none"/>
        </w:rPr>
        <w:t>份，甲、乙双方各执</w:t>
      </w:r>
      <w:r>
        <w:rPr>
          <w:rFonts w:hint="eastAsia"/>
          <w:color w:val="auto"/>
          <w:szCs w:val="21"/>
          <w:highlight w:val="none"/>
          <w:u w:val="single"/>
          <w:lang w:val="en-US" w:eastAsia="zh-CN"/>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代理机构执壹份</w:t>
      </w:r>
      <w:r>
        <w:rPr>
          <w:rFonts w:hint="eastAsia" w:ascii="宋体" w:hAnsi="宋体"/>
          <w:color w:val="auto"/>
          <w:szCs w:val="21"/>
          <w:highlight w:val="none"/>
        </w:rPr>
        <w:t>。有上级部门的，双方应送交其上级部门各存壹份。</w:t>
      </w:r>
    </w:p>
    <w:p>
      <w:pPr>
        <w:adjustRightInd w:val="0"/>
        <w:snapToGrid w:val="0"/>
        <w:spacing w:line="360" w:lineRule="auto"/>
        <w:ind w:firstLine="440" w:firstLineChars="200"/>
        <w:rPr>
          <w:rFonts w:hint="eastAsia" w:ascii="宋体" w:hAnsi="宋体"/>
          <w:color w:val="auto"/>
          <w:szCs w:val="21"/>
          <w:highlight w:val="none"/>
        </w:rPr>
      </w:pPr>
    </w:p>
    <w:p>
      <w:pPr>
        <w:adjustRightInd w:val="0"/>
        <w:snapToGrid w:val="0"/>
        <w:spacing w:line="360" w:lineRule="auto"/>
        <w:ind w:firstLine="440" w:firstLineChars="200"/>
        <w:rPr>
          <w:rFonts w:hint="eastAsia" w:ascii="宋体" w:hAnsi="宋体"/>
          <w:color w:val="auto"/>
          <w:szCs w:val="21"/>
          <w:highlight w:val="none"/>
        </w:rPr>
      </w:pP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 xml:space="preserve">发 包 人 （公章）：                    </w:t>
      </w:r>
      <w:r>
        <w:rPr>
          <w:rFonts w:ascii="宋体" w:hAnsi="宋体"/>
          <w:color w:val="auto"/>
          <w:szCs w:val="21"/>
          <w:highlight w:val="none"/>
        </w:rPr>
        <w:t xml:space="preserve">  </w:t>
      </w:r>
      <w:r>
        <w:rPr>
          <w:rFonts w:hint="eastAsia" w:ascii="宋体" w:hAnsi="宋体"/>
          <w:color w:val="auto"/>
          <w:szCs w:val="21"/>
          <w:highlight w:val="none"/>
        </w:rPr>
        <w:t xml:space="preserve"> 承 包 人 （公章）：</w:t>
      </w:r>
    </w:p>
    <w:p>
      <w:pPr>
        <w:adjustRightInd w:val="0"/>
        <w:snapToGrid w:val="0"/>
        <w:spacing w:line="360" w:lineRule="auto"/>
        <w:ind w:firstLine="440" w:firstLineChars="200"/>
        <w:rPr>
          <w:rFonts w:ascii="宋体" w:hAnsi="宋体"/>
          <w:color w:val="auto"/>
          <w:szCs w:val="21"/>
          <w:highlight w:val="none"/>
        </w:rPr>
      </w:pPr>
    </w:p>
    <w:p>
      <w:pPr>
        <w:adjustRightInd w:val="0"/>
        <w:snapToGrid w:val="0"/>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法定代表人（签字或</w:t>
      </w:r>
      <w:r>
        <w:rPr>
          <w:rFonts w:ascii="宋体" w:hAnsi="宋体"/>
          <w:color w:val="auto"/>
          <w:szCs w:val="21"/>
          <w:highlight w:val="none"/>
        </w:rPr>
        <w:t>盖章</w:t>
      </w:r>
      <w:r>
        <w:rPr>
          <w:rFonts w:hint="eastAsia" w:ascii="宋体" w:hAnsi="宋体"/>
          <w:color w:val="auto"/>
          <w:szCs w:val="21"/>
          <w:highlight w:val="none"/>
        </w:rPr>
        <w:t>）：                法定代表人（签字或</w:t>
      </w:r>
      <w:r>
        <w:rPr>
          <w:rFonts w:ascii="宋体" w:hAnsi="宋体"/>
          <w:color w:val="auto"/>
          <w:szCs w:val="21"/>
          <w:highlight w:val="none"/>
        </w:rPr>
        <w:t>盖章</w:t>
      </w:r>
      <w:r>
        <w:rPr>
          <w:rFonts w:hint="eastAsia" w:ascii="宋体" w:hAnsi="宋体"/>
          <w:color w:val="auto"/>
          <w:szCs w:val="21"/>
          <w:highlight w:val="none"/>
        </w:rPr>
        <w:t>）：</w:t>
      </w:r>
    </w:p>
    <w:p>
      <w:pPr>
        <w:adjustRightInd w:val="0"/>
        <w:snapToGrid w:val="0"/>
        <w:spacing w:line="360" w:lineRule="auto"/>
        <w:ind w:firstLine="1540" w:firstLineChars="700"/>
        <w:rPr>
          <w:rFonts w:ascii="宋体" w:hAnsi="宋体"/>
          <w:color w:val="auto"/>
          <w:szCs w:val="21"/>
          <w:highlight w:val="none"/>
        </w:rPr>
      </w:pPr>
    </w:p>
    <w:p>
      <w:pPr>
        <w:adjustRightInd w:val="0"/>
        <w:snapToGrid w:val="0"/>
        <w:spacing w:line="360" w:lineRule="auto"/>
        <w:ind w:firstLine="1320" w:firstLineChars="600"/>
        <w:rPr>
          <w:rFonts w:hint="eastAsia" w:ascii="宋体" w:hAnsi="宋体"/>
          <w:color w:val="auto"/>
          <w:szCs w:val="21"/>
          <w:highlight w:val="none"/>
        </w:rPr>
      </w:pPr>
      <w:r>
        <w:rPr>
          <w:rFonts w:hint="eastAsia" w:ascii="宋体" w:hAnsi="宋体"/>
          <w:color w:val="auto"/>
          <w:szCs w:val="21"/>
          <w:highlight w:val="none"/>
        </w:rPr>
        <w:t xml:space="preserve">年    月    日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年    月    日</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b/>
          <w:color w:val="auto"/>
          <w:sz w:val="32"/>
          <w:szCs w:val="32"/>
          <w:highlight w:val="none"/>
        </w:rPr>
      </w:pPr>
      <w:r>
        <w:rPr>
          <w:rFonts w:hint="eastAsia" w:ascii="宋体" w:hAnsi="宋体"/>
          <w:b/>
          <w:color w:val="auto"/>
          <w:sz w:val="24"/>
          <w:highlight w:val="none"/>
        </w:rPr>
        <w:br w:type="page"/>
      </w:r>
      <w:r>
        <w:rPr>
          <w:rFonts w:hint="eastAsia" w:ascii="宋体" w:hAnsi="宋体"/>
          <w:b/>
          <w:color w:val="auto"/>
          <w:sz w:val="24"/>
          <w:highlight w:val="none"/>
        </w:rPr>
        <w:t>附件二</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 政 合 同</w:t>
      </w:r>
    </w:p>
    <w:p>
      <w:pPr>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发包人：（全称）</w:t>
      </w:r>
      <w:r>
        <w:rPr>
          <w:rFonts w:hint="eastAsia"/>
          <w:color w:val="auto"/>
          <w:sz w:val="24"/>
          <w:highlight w:val="none"/>
          <w:u w:val="single"/>
          <w:lang w:eastAsia="zh-CN"/>
        </w:rPr>
        <w:t>云浮美神养殖有限公司</w:t>
      </w:r>
    </w:p>
    <w:p>
      <w:pPr>
        <w:spacing w:line="360" w:lineRule="auto"/>
        <w:rPr>
          <w:rFonts w:hint="eastAsia"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    根据国家、省工程建设和廉政建设的有关规定，为做好合同工程的廉政建设，保证工程质量与施工安全，提高建设资金的有效使用和投资效益，发包人承包人就加强合同工程的廉政建设，订立本合同。</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  双方权利和义务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严格遵守国家有关法律法规的规定。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严格执行一切合同文件，自觉按合同办事。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  双方的业务活动坚持公平、公开、公正和诚信的原则（法律认定的商业秘密和合同文件另有规定除外），不得损害国家和集体利益，不得违反工程建设管理规章制度。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建立健全廉政制度，开展廉政教育，设立廉政告示牌，公布举报电话，监督并认真查处违法违纪行为。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  发现对方在业务活动中有违反廉政建设规定的行为，应及时给予提醒和纠正。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  发现对方严重违反合同的行为，有向其上级部门举报、建议给予处理并要求告知处理结果的权利。没有上级部门的，可按施工合同通用条款第70条规定处理。</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2  发包人义务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2.4  发包人及其工作人员及其配偶、子女不得从事与发包人有关的工程材料设备供应、工程分包、劳务等经济活动。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2.5  发包人及其工作人员不得以任何理由向承包人推荐分包单位或推销材料，不得要求承包人购买合同约定外的材料和设备。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  发包人及其工作人员要秉公办事，不准营私舞弊，不准利用职权从事各种个人有偿中介活动和安排个人施工队伍。</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  承包人义务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  承包人不得以任何理由向发包人及其工作人员行贿或馈赠礼金、有价证券、贵重礼品。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承包人不得以任何名义为发包人及其工作人员报销应由发包人或工作人员个人支付的任何费用。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承包人不得以任何理由安排发包人及其工作人员参加宴请（工作餐除外）及娱乐活动。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承包人不得为发包人和个人购置或提供通讯工具、交通工具和高档办公用品等。</w:t>
      </w:r>
    </w:p>
    <w:p>
      <w:pPr>
        <w:tabs>
          <w:tab w:val="left" w:pos="900"/>
        </w:tabs>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  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4.2  承包人及其工作人员违反本合同第1条和第3条规定，应依据有关规定给予廉政建设规定的处分；给发包人造成经济损失的，应予赔偿；情节严重的，给予承包人一至三年内不得进入工程建设市场的处罚。</w:t>
      </w:r>
    </w:p>
    <w:p>
      <w:pPr>
        <w:spacing w:line="360" w:lineRule="auto"/>
        <w:rPr>
          <w:rFonts w:ascii="宋体" w:hAnsi="宋体"/>
          <w:b/>
          <w:bCs/>
          <w:color w:val="auto"/>
          <w:sz w:val="24"/>
          <w:highlight w:val="none"/>
        </w:rPr>
      </w:pPr>
      <w:r>
        <w:rPr>
          <w:rFonts w:hint="eastAsia" w:ascii="宋体" w:hAnsi="宋体"/>
          <w:b/>
          <w:bCs/>
          <w:color w:val="auto"/>
          <w:sz w:val="24"/>
          <w:highlight w:val="none"/>
        </w:rPr>
        <w:t>双方约定</w:t>
      </w:r>
    </w:p>
    <w:p>
      <w:pPr>
        <w:spacing w:line="360" w:lineRule="auto"/>
        <w:ind w:left="400" w:firstLine="480" w:firstLineChars="200"/>
        <w:rPr>
          <w:rFonts w:ascii="宋体" w:hAnsi="宋体"/>
          <w:color w:val="auto"/>
          <w:sz w:val="24"/>
          <w:highlight w:val="none"/>
        </w:rPr>
      </w:pPr>
      <w:r>
        <w:rPr>
          <w:rFonts w:hint="eastAsia" w:ascii="宋体" w:hAnsi="宋体"/>
          <w:color w:val="auto"/>
          <w:sz w:val="24"/>
          <w:highlight w:val="none"/>
        </w:rPr>
        <w:t>本合同由双方或其上级部门负责监督执行，并由双方或其上级部门相互约请对本合同执行情况进行检查。</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  合同生效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本合同的有效期，自双方签署之日起至该工程竣工验收合格之日止。</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7  合同法律效力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本合同作为</w:t>
      </w:r>
      <w:r>
        <w:rPr>
          <w:rFonts w:hint="eastAsia"/>
          <w:color w:val="auto"/>
          <w:sz w:val="24"/>
          <w:highlight w:val="none"/>
          <w:u w:val="single"/>
          <w:lang w:eastAsia="zh-CN"/>
        </w:rPr>
        <w:t>云安区生猪产业园—优质生猪标准化规模养殖基地项目</w:t>
      </w:r>
      <w:r>
        <w:rPr>
          <w:rFonts w:hint="eastAsia" w:ascii="宋体" w:hAnsi="宋体"/>
          <w:color w:val="auto"/>
          <w:sz w:val="24"/>
          <w:highlight w:val="none"/>
        </w:rPr>
        <w:t>（工程名称）工程施工合同的附件，与施工合同具有同等的法律效力，经双方签署后生效。</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8  合同份数</w:t>
      </w:r>
    </w:p>
    <w:p>
      <w:pPr>
        <w:spacing w:after="120" w:afterLines="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本合同壹式</w:t>
      </w:r>
      <w:r>
        <w:rPr>
          <w:rFonts w:hint="eastAsia"/>
          <w:color w:val="auto"/>
          <w:sz w:val="24"/>
          <w:highlight w:val="none"/>
          <w:u w:val="single"/>
          <w:lang w:val="en-US" w:eastAsia="zh-CN"/>
        </w:rPr>
        <w:t xml:space="preserve">    </w:t>
      </w:r>
      <w:r>
        <w:rPr>
          <w:rFonts w:hint="eastAsia" w:ascii="宋体" w:hAnsi="宋体"/>
          <w:color w:val="auto"/>
          <w:sz w:val="24"/>
          <w:highlight w:val="none"/>
        </w:rPr>
        <w:t>份，甲、乙双方各执</w:t>
      </w:r>
      <w:r>
        <w:rPr>
          <w:rFonts w:hint="eastAsia"/>
          <w:color w:val="auto"/>
          <w:sz w:val="24"/>
          <w:highlight w:val="none"/>
          <w:u w:val="single"/>
          <w:lang w:val="en-US" w:eastAsia="zh-CN"/>
        </w:rPr>
        <w:t xml:space="preserve">    </w:t>
      </w:r>
      <w:r>
        <w:rPr>
          <w:rFonts w:hint="eastAsia" w:ascii="宋体" w:hAnsi="宋体"/>
          <w:color w:val="auto"/>
          <w:sz w:val="24"/>
          <w:highlight w:val="none"/>
        </w:rPr>
        <w:t>份</w:t>
      </w:r>
      <w:r>
        <w:rPr>
          <w:rFonts w:hint="eastAsia"/>
          <w:color w:val="auto"/>
          <w:sz w:val="24"/>
          <w:highlight w:val="none"/>
          <w:lang w:eastAsia="zh-CN"/>
        </w:rPr>
        <w:t>，</w:t>
      </w:r>
      <w:r>
        <w:rPr>
          <w:rFonts w:hint="eastAsia"/>
          <w:color w:val="auto"/>
          <w:sz w:val="24"/>
          <w:highlight w:val="none"/>
          <w:lang w:val="en-US" w:eastAsia="zh-CN"/>
        </w:rPr>
        <w:t>代理机构执壹份</w:t>
      </w:r>
      <w:r>
        <w:rPr>
          <w:rFonts w:hint="eastAsia" w:ascii="宋体" w:hAnsi="宋体"/>
          <w:color w:val="auto"/>
          <w:sz w:val="24"/>
          <w:highlight w:val="none"/>
        </w:rPr>
        <w:t>。有上级部门的，双方应送交其上级部门各壹份。</w:t>
      </w:r>
    </w:p>
    <w:p>
      <w:pPr>
        <w:tabs>
          <w:tab w:val="left" w:pos="420"/>
          <w:tab w:val="left" w:pos="5250"/>
        </w:tabs>
        <w:spacing w:line="264" w:lineRule="auto"/>
        <w:ind w:left="444" w:leftChars="202"/>
        <w:rPr>
          <w:rFonts w:hint="eastAsia" w:ascii="宋体" w:hAnsi="宋体"/>
          <w:color w:val="auto"/>
          <w:sz w:val="24"/>
          <w:szCs w:val="24"/>
          <w:highlight w:val="none"/>
        </w:rPr>
      </w:pPr>
    </w:p>
    <w:p>
      <w:pPr>
        <w:tabs>
          <w:tab w:val="left" w:pos="0"/>
          <w:tab w:val="left" w:pos="483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发 包 人：</w:t>
      </w:r>
      <w:r>
        <w:rPr>
          <w:rFonts w:hint="eastAsia"/>
          <w:color w:val="auto"/>
          <w:sz w:val="24"/>
          <w:szCs w:val="24"/>
          <w:highlight w:val="none"/>
          <w:u w:val="single"/>
          <w:lang w:eastAsia="zh-CN"/>
        </w:rPr>
        <w:t>云浮美神养殖有限公司</w:t>
      </w:r>
      <w:r>
        <w:rPr>
          <w:rFonts w:hint="eastAsia" w:ascii="宋体" w:hAnsi="宋体"/>
          <w:color w:val="auto"/>
          <w:sz w:val="24"/>
          <w:szCs w:val="24"/>
          <w:highlight w:val="none"/>
        </w:rPr>
        <w:tab/>
      </w:r>
      <w:r>
        <w:rPr>
          <w:rFonts w:hint="eastAsia" w:ascii="宋体" w:hAnsi="宋体"/>
          <w:color w:val="auto"/>
          <w:sz w:val="24"/>
          <w:szCs w:val="24"/>
          <w:highlight w:val="none"/>
        </w:rPr>
        <w:t>承 包 人：</w:t>
      </w:r>
    </w:p>
    <w:p>
      <w:pPr>
        <w:tabs>
          <w:tab w:val="left" w:pos="0"/>
          <w:tab w:val="left" w:pos="4830"/>
        </w:tabs>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（公章） </w:t>
      </w:r>
      <w:r>
        <w:rPr>
          <w:rFonts w:hint="eastAsia" w:ascii="宋体" w:hAnsi="宋体"/>
          <w:color w:val="auto"/>
          <w:sz w:val="24"/>
          <w:szCs w:val="24"/>
          <w:highlight w:val="none"/>
        </w:rPr>
        <w:tab/>
      </w:r>
      <w:r>
        <w:rPr>
          <w:rFonts w:hint="eastAsia" w:ascii="宋体" w:hAnsi="宋体"/>
          <w:color w:val="auto"/>
          <w:sz w:val="24"/>
          <w:szCs w:val="24"/>
          <w:highlight w:val="none"/>
        </w:rPr>
        <w:t>（公章）</w:t>
      </w:r>
    </w:p>
    <w:p>
      <w:pPr>
        <w:tabs>
          <w:tab w:val="left" w:pos="0"/>
          <w:tab w:val="left" w:pos="4830"/>
        </w:tabs>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rPr>
        <w:tab/>
      </w:r>
      <w:r>
        <w:rPr>
          <w:rFonts w:hint="eastAsia" w:ascii="宋体" w:hAnsi="宋体"/>
          <w:color w:val="auto"/>
          <w:sz w:val="24"/>
          <w:szCs w:val="24"/>
          <w:highlight w:val="none"/>
        </w:rPr>
        <w:t xml:space="preserve">法定代表人： </w:t>
      </w:r>
    </w:p>
    <w:p>
      <w:pPr>
        <w:tabs>
          <w:tab w:val="left" w:pos="0"/>
          <w:tab w:val="left" w:pos="4830"/>
        </w:tabs>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或委托代理人：（签章）    </w:t>
      </w:r>
      <w:r>
        <w:rPr>
          <w:rFonts w:hint="eastAsia" w:ascii="宋体" w:hAnsi="宋体"/>
          <w:color w:val="auto"/>
          <w:sz w:val="24"/>
          <w:szCs w:val="24"/>
          <w:highlight w:val="none"/>
        </w:rPr>
        <w:tab/>
      </w:r>
      <w:r>
        <w:rPr>
          <w:rFonts w:hint="eastAsia" w:ascii="宋体" w:hAnsi="宋体"/>
          <w:color w:val="auto"/>
          <w:sz w:val="24"/>
          <w:szCs w:val="24"/>
          <w:highlight w:val="none"/>
        </w:rPr>
        <w:t>或委托代理人：（签章）</w:t>
      </w:r>
    </w:p>
    <w:p>
      <w:pPr>
        <w:tabs>
          <w:tab w:val="left" w:pos="0"/>
          <w:tab w:val="left" w:pos="483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rPr>
        <w:tab/>
      </w:r>
      <w:r>
        <w:rPr>
          <w:rFonts w:hint="eastAsia" w:ascii="宋体" w:hAnsi="宋体"/>
          <w:color w:val="auto"/>
          <w:sz w:val="24"/>
          <w:szCs w:val="24"/>
          <w:highlight w:val="none"/>
        </w:rPr>
        <w:t>地 址：</w:t>
      </w:r>
    </w:p>
    <w:p>
      <w:pPr>
        <w:tabs>
          <w:tab w:val="left" w:pos="0"/>
          <w:tab w:val="left" w:pos="4830"/>
        </w:tabs>
        <w:spacing w:line="360" w:lineRule="auto"/>
        <w:rPr>
          <w:rFonts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color w:val="auto"/>
          <w:sz w:val="24"/>
          <w:szCs w:val="24"/>
          <w:highlight w:val="none"/>
        </w:rPr>
        <w:tab/>
      </w:r>
      <w:r>
        <w:rPr>
          <w:rFonts w:hint="eastAsia" w:ascii="宋体" w:hAnsi="宋体"/>
          <w:color w:val="auto"/>
          <w:sz w:val="24"/>
          <w:szCs w:val="24"/>
          <w:highlight w:val="none"/>
        </w:rPr>
        <w:t xml:space="preserve">电 话： </w:t>
      </w:r>
    </w:p>
    <w:p>
      <w:pPr>
        <w:tabs>
          <w:tab w:val="left" w:pos="0"/>
          <w:tab w:val="left" w:pos="4830"/>
        </w:tabs>
        <w:spacing w:line="360" w:lineRule="auto"/>
        <w:rPr>
          <w:rFonts w:ascii="宋体" w:hAnsi="宋体"/>
          <w:color w:val="auto"/>
          <w:sz w:val="24"/>
          <w:szCs w:val="24"/>
          <w:highlight w:val="none"/>
        </w:rPr>
      </w:pPr>
      <w:r>
        <w:rPr>
          <w:rFonts w:hint="eastAsia" w:ascii="宋体" w:hAnsi="宋体"/>
          <w:color w:val="auto"/>
          <w:sz w:val="24"/>
          <w:szCs w:val="24"/>
          <w:highlight w:val="none"/>
        </w:rPr>
        <w:t>开户银行：</w:t>
      </w:r>
      <w:r>
        <w:rPr>
          <w:rFonts w:hint="eastAsia" w:ascii="宋体" w:hAnsi="宋体"/>
          <w:color w:val="auto"/>
          <w:sz w:val="24"/>
          <w:szCs w:val="24"/>
          <w:highlight w:val="none"/>
        </w:rPr>
        <w:tab/>
      </w:r>
      <w:r>
        <w:rPr>
          <w:rFonts w:hint="eastAsia" w:ascii="宋体" w:hAnsi="宋体"/>
          <w:color w:val="auto"/>
          <w:sz w:val="24"/>
          <w:szCs w:val="24"/>
          <w:highlight w:val="none"/>
        </w:rPr>
        <w:t xml:space="preserve">开户银行： </w:t>
      </w:r>
    </w:p>
    <w:p>
      <w:pPr>
        <w:tabs>
          <w:tab w:val="left" w:pos="0"/>
          <w:tab w:val="left" w:pos="4830"/>
        </w:tabs>
        <w:spacing w:line="360" w:lineRule="auto"/>
        <w:rPr>
          <w:rFonts w:ascii="宋体" w:hAnsi="宋体"/>
          <w:color w:val="auto"/>
          <w:sz w:val="24"/>
          <w:szCs w:val="24"/>
          <w:highlight w:val="none"/>
        </w:rPr>
      </w:pPr>
      <w:r>
        <w:rPr>
          <w:rFonts w:hint="eastAsia" w:ascii="宋体" w:hAnsi="宋体"/>
          <w:color w:val="auto"/>
          <w:sz w:val="24"/>
          <w:szCs w:val="24"/>
          <w:highlight w:val="none"/>
        </w:rPr>
        <w:t>帐 号：</w:t>
      </w:r>
      <w:r>
        <w:rPr>
          <w:rFonts w:hint="eastAsia" w:ascii="宋体" w:hAnsi="宋体"/>
          <w:color w:val="auto"/>
          <w:sz w:val="24"/>
          <w:szCs w:val="24"/>
          <w:highlight w:val="none"/>
        </w:rPr>
        <w:tab/>
      </w:r>
      <w:r>
        <w:rPr>
          <w:rFonts w:hint="eastAsia" w:ascii="宋体" w:hAnsi="宋体"/>
          <w:color w:val="auto"/>
          <w:sz w:val="24"/>
          <w:szCs w:val="24"/>
          <w:highlight w:val="none"/>
        </w:rPr>
        <w:t xml:space="preserve">帐 号： </w:t>
      </w:r>
    </w:p>
    <w:p>
      <w:pPr>
        <w:tabs>
          <w:tab w:val="left" w:pos="0"/>
          <w:tab w:val="left" w:pos="4830"/>
        </w:tabs>
        <w:spacing w:line="360" w:lineRule="auto"/>
        <w:rPr>
          <w:rFonts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rPr>
        <w:tab/>
      </w:r>
      <w:r>
        <w:rPr>
          <w:rFonts w:hint="eastAsia" w:ascii="宋体" w:hAnsi="宋体"/>
          <w:color w:val="auto"/>
          <w:sz w:val="24"/>
          <w:szCs w:val="24"/>
          <w:highlight w:val="none"/>
        </w:rPr>
        <w:t xml:space="preserve">邮政编码： </w:t>
      </w:r>
    </w:p>
    <w:p>
      <w:pPr>
        <w:tabs>
          <w:tab w:val="left" w:pos="0"/>
          <w:tab w:val="left" w:pos="483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rPr>
        <w:tab/>
      </w:r>
      <w:r>
        <w:rPr>
          <w:rFonts w:hint="eastAsia" w:ascii="宋体" w:hAnsi="宋体"/>
          <w:color w:val="auto"/>
          <w:sz w:val="24"/>
          <w:szCs w:val="24"/>
          <w:highlight w:val="none"/>
        </w:rPr>
        <w:t>电子邮箱：</w:t>
      </w:r>
    </w:p>
    <w:p>
      <w:pPr>
        <w:spacing w:line="360" w:lineRule="auto"/>
        <w:rPr>
          <w:rFonts w:hint="eastAsia" w:ascii="宋体" w:hAnsi="宋体"/>
          <w:b/>
          <w:color w:val="auto"/>
          <w:sz w:val="24"/>
          <w:highlight w:val="none"/>
        </w:rPr>
      </w:pPr>
      <w:r>
        <w:rPr>
          <w:rFonts w:ascii="宋体" w:hAnsi="宋体"/>
          <w:b/>
          <w:color w:val="auto"/>
          <w:sz w:val="24"/>
          <w:highlight w:val="none"/>
        </w:rPr>
        <w:br w:type="page"/>
      </w:r>
      <w:r>
        <w:rPr>
          <w:rFonts w:ascii="宋体" w:hAnsi="宋体"/>
          <w:b/>
          <w:color w:val="auto"/>
          <w:sz w:val="24"/>
          <w:highlight w:val="none"/>
        </w:rPr>
        <w:t>附件</w:t>
      </w:r>
      <w:r>
        <w:rPr>
          <w:rFonts w:hint="eastAsia" w:ascii="宋体" w:hAnsi="宋体"/>
          <w:b/>
          <w:color w:val="auto"/>
          <w:sz w:val="24"/>
          <w:highlight w:val="none"/>
        </w:rPr>
        <w:t>三</w:t>
      </w:r>
    </w:p>
    <w:p>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云浮市建筑施工企业工人工资支付保证金</w:t>
      </w:r>
    </w:p>
    <w:p>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支付协议书</w:t>
      </w:r>
    </w:p>
    <w:p>
      <w:pPr>
        <w:spacing w:line="360" w:lineRule="auto"/>
        <w:jc w:val="right"/>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合同编号：</w:t>
      </w:r>
    </w:p>
    <w:p>
      <w:pPr>
        <w:spacing w:line="360" w:lineRule="auto"/>
        <w:rPr>
          <w:rFonts w:hint="eastAsia" w:ascii="宋体" w:hAnsi="宋体"/>
          <w:color w:val="auto"/>
          <w:sz w:val="24"/>
          <w:highlight w:val="none"/>
        </w:rPr>
      </w:pPr>
    </w:p>
    <w:p>
      <w:pPr>
        <w:spacing w:line="560" w:lineRule="exact"/>
        <w:rPr>
          <w:rFonts w:hint="eastAsia" w:ascii="宋体" w:hAnsi="宋体" w:eastAsia="宋体"/>
          <w:color w:val="auto"/>
          <w:sz w:val="24"/>
          <w:highlight w:val="none"/>
          <w:lang w:eastAsia="zh-CN"/>
        </w:rPr>
      </w:pPr>
      <w:r>
        <w:rPr>
          <w:rFonts w:hint="eastAsia" w:ascii="宋体" w:hAnsi="宋体"/>
          <w:color w:val="auto"/>
          <w:sz w:val="24"/>
          <w:highlight w:val="none"/>
        </w:rPr>
        <w:t>甲方（全称）：</w:t>
      </w:r>
      <w:r>
        <w:rPr>
          <w:rFonts w:hint="eastAsia"/>
          <w:color w:val="auto"/>
          <w:sz w:val="24"/>
          <w:highlight w:val="none"/>
          <w:lang w:eastAsia="zh-CN"/>
        </w:rPr>
        <w:t>云浮美神养殖有限公司</w:t>
      </w:r>
    </w:p>
    <w:p>
      <w:pPr>
        <w:spacing w:line="560" w:lineRule="exact"/>
        <w:rPr>
          <w:rFonts w:hint="eastAsia" w:ascii="宋体" w:hAnsi="宋体"/>
          <w:color w:val="auto"/>
          <w:sz w:val="24"/>
          <w:highlight w:val="none"/>
        </w:rPr>
      </w:pPr>
      <w:r>
        <w:rPr>
          <w:rFonts w:hint="eastAsia" w:ascii="宋体" w:hAnsi="宋体"/>
          <w:color w:val="auto"/>
          <w:sz w:val="24"/>
          <w:highlight w:val="none"/>
        </w:rPr>
        <w:t>乙方（全称）：</w:t>
      </w:r>
    </w:p>
    <w:p>
      <w:pPr>
        <w:spacing w:line="560" w:lineRule="exact"/>
        <w:rPr>
          <w:rFonts w:hint="eastAsia" w:ascii="宋体" w:hAnsi="宋体"/>
          <w:color w:val="auto"/>
          <w:sz w:val="24"/>
          <w:highlight w:val="none"/>
        </w:rPr>
      </w:pPr>
    </w:p>
    <w:p>
      <w:pPr>
        <w:spacing w:line="560" w:lineRule="exact"/>
        <w:rPr>
          <w:rFonts w:hint="eastAsia" w:ascii="宋体" w:hAnsi="宋体"/>
          <w:color w:val="auto"/>
          <w:sz w:val="24"/>
          <w:highlight w:val="none"/>
        </w:rPr>
      </w:pPr>
      <w:r>
        <w:rPr>
          <w:rFonts w:hint="eastAsia" w:ascii="宋体" w:hAnsi="宋体"/>
          <w:color w:val="auto"/>
          <w:sz w:val="24"/>
          <w:highlight w:val="none"/>
        </w:rPr>
        <w:t xml:space="preserve">    根据《云浮市人民政府办公室关于印发云浮市工程建设领域工人工资支付保证金管理办法的通知》（云府办[2016]17号）的有关规定,甲乙双方需在签订工程施工合同后，办理施工许可证前，到市人社部门指定的银行设立保证金专用账户，并足额存储工资保证金。甲乙双方本着互利互惠的原则，经友好协商，依据项目实际情况，在施工合同（合同编号： ）基础上订立本协议明确工资保证金的提存及抵扣方式，具体内容如下：</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一、甲方按照合同总造价的3%（即人民币    元，大写：人民币 ），一次性提取资金存入乙方工资保证金专用账户（下称该资金），具体金额及专用账户以人社部门核准为准。该资金直接在施工合同（合同编号： ）约定的工程预付款[按合同价（扣除暂列金额和安全生产文明施工措施费）的15%计]内扣减，视为甲方已向乙方支付了该金额的工程预付款。该资金的扣回或结算按工程预付款的相关规定处理。该资金作为乙方工人工资支付保证金，乙方不得挪作他用。 </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二、本协议生效后，即成为《建设工程施工合同》(以下简称施工合同)不可分割的组成部分，与施工合同具有同等的法律效力。</w:t>
      </w:r>
    </w:p>
    <w:p>
      <w:pPr>
        <w:spacing w:line="560" w:lineRule="exact"/>
        <w:rPr>
          <w:rFonts w:hint="eastAsia" w:ascii="宋体" w:hAnsi="宋体"/>
          <w:color w:val="auto"/>
          <w:sz w:val="24"/>
          <w:highlight w:val="none"/>
        </w:rPr>
      </w:pPr>
      <w:r>
        <w:rPr>
          <w:rFonts w:hint="eastAsia" w:ascii="宋体" w:hAnsi="宋体"/>
          <w:color w:val="auto"/>
          <w:sz w:val="24"/>
          <w:highlight w:val="none"/>
        </w:rPr>
        <w:t xml:space="preserve">     除本协议中明确所作补充修改的条款之外，施工合同的其余部分应完全继续有效。</w:t>
      </w:r>
    </w:p>
    <w:p>
      <w:pPr>
        <w:spacing w:line="560" w:lineRule="exact"/>
        <w:rPr>
          <w:rFonts w:hint="eastAsia" w:ascii="宋体" w:hAnsi="宋体"/>
          <w:color w:val="auto"/>
          <w:sz w:val="24"/>
          <w:highlight w:val="none"/>
        </w:rPr>
      </w:pPr>
      <w:r>
        <w:rPr>
          <w:rFonts w:hint="eastAsia" w:ascii="宋体" w:hAnsi="宋体"/>
          <w:color w:val="auto"/>
          <w:sz w:val="24"/>
          <w:highlight w:val="none"/>
        </w:rPr>
        <w:t xml:space="preserve">     本协议与施工合同有相互冲突时，以本协议为准。</w:t>
      </w:r>
    </w:p>
    <w:p>
      <w:pPr>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本协议中的所有术语，除非另有说明，其定义与双方于</w:t>
      </w:r>
      <w:r>
        <w:rPr>
          <w:rFonts w:ascii="宋体" w:hAnsi="宋体"/>
          <w:color w:val="auto"/>
          <w:sz w:val="24"/>
          <w:highlight w:val="none"/>
        </w:rPr>
        <w:t xml:space="preserve">    </w:t>
      </w:r>
      <w:r>
        <w:rPr>
          <w:rFonts w:hint="eastAsia" w:ascii="宋体" w:hAnsi="宋体"/>
          <w:color w:val="auto"/>
          <w:sz w:val="24"/>
          <w:highlight w:val="none"/>
        </w:rPr>
        <w:t>年   月  日签订的施工合同中的定义相同。</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三、协议发生争议，双方当事人应及时协商解决，调解不成时，双方当事人同意向工程所在地有管辖权的人民法院起诉。</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四、本协议壹式捌份，甲、乙双方各执肆份，具有同等法律效力，自双方签字盖章之日起生效。</w:t>
      </w:r>
    </w:p>
    <w:p>
      <w:pPr>
        <w:spacing w:line="560" w:lineRule="exact"/>
        <w:ind w:firstLine="480" w:firstLineChars="200"/>
        <w:rPr>
          <w:rFonts w:hint="eastAsia" w:ascii="宋体" w:hAnsi="宋体"/>
          <w:color w:val="auto"/>
          <w:sz w:val="24"/>
          <w:highlight w:val="none"/>
        </w:rPr>
      </w:pPr>
    </w:p>
    <w:p>
      <w:pPr>
        <w:spacing w:line="560" w:lineRule="exact"/>
        <w:rPr>
          <w:rFonts w:hint="eastAsia" w:ascii="宋体" w:hAnsi="宋体"/>
          <w:color w:val="auto"/>
          <w:sz w:val="24"/>
          <w:highlight w:val="none"/>
        </w:rPr>
      </w:pP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甲方：      （公章）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乙方：      （公章）</w:t>
      </w:r>
    </w:p>
    <w:p>
      <w:pPr>
        <w:spacing w:line="560" w:lineRule="exact"/>
        <w:rPr>
          <w:rFonts w:hint="eastAsia" w:ascii="宋体" w:hAnsi="宋体"/>
          <w:color w:val="auto"/>
          <w:sz w:val="24"/>
          <w:highlight w:val="none"/>
        </w:rPr>
      </w:pPr>
      <w:r>
        <w:rPr>
          <w:rFonts w:hint="eastAsia" w:ascii="宋体" w:hAnsi="宋体"/>
          <w:color w:val="auto"/>
          <w:sz w:val="24"/>
          <w:highlight w:val="none"/>
        </w:rPr>
        <w:t xml:space="preserve">                                             </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法定代表人或委托代理人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法定代表人或委托代理人</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签字或</w:t>
      </w:r>
      <w:r>
        <w:rPr>
          <w:rFonts w:ascii="宋体" w:hAnsi="宋体"/>
          <w:color w:val="auto"/>
          <w:sz w:val="24"/>
          <w:highlight w:val="none"/>
        </w:rPr>
        <w:t>盖章</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签字或</w:t>
      </w:r>
      <w:r>
        <w:rPr>
          <w:rFonts w:ascii="宋体" w:hAnsi="宋体"/>
          <w:color w:val="auto"/>
          <w:sz w:val="24"/>
          <w:highlight w:val="none"/>
        </w:rPr>
        <w:t>盖章</w:t>
      </w:r>
      <w:r>
        <w:rPr>
          <w:rFonts w:hint="eastAsia" w:ascii="宋体" w:hAnsi="宋体"/>
          <w:color w:val="auto"/>
          <w:sz w:val="24"/>
          <w:highlight w:val="none"/>
        </w:rPr>
        <w:t xml:space="preserve">：        </w:t>
      </w:r>
    </w:p>
    <w:p>
      <w:pPr>
        <w:spacing w:line="560" w:lineRule="exact"/>
        <w:rPr>
          <w:rFonts w:hint="eastAsia" w:ascii="宋体" w:hAnsi="宋体"/>
          <w:color w:val="auto"/>
          <w:sz w:val="24"/>
          <w:highlight w:val="none"/>
        </w:rPr>
      </w:pPr>
    </w:p>
    <w:p>
      <w:pPr>
        <w:spacing w:line="560" w:lineRule="exact"/>
        <w:jc w:val="center"/>
        <w:rPr>
          <w:rFonts w:hint="eastAsia" w:ascii="宋体" w:hAnsi="宋体"/>
          <w:color w:val="auto"/>
          <w:sz w:val="24"/>
          <w:highlight w:val="none"/>
        </w:rPr>
      </w:pPr>
      <w:r>
        <w:rPr>
          <w:rFonts w:hint="eastAsia" w:ascii="宋体" w:hAnsi="宋体"/>
          <w:color w:val="auto"/>
          <w:sz w:val="24"/>
          <w:highlight w:val="none"/>
        </w:rPr>
        <w:t>签订日期：     年   月   日</w:t>
      </w:r>
    </w:p>
    <w:p>
      <w:pPr>
        <w:spacing w:line="560" w:lineRule="exact"/>
        <w:rPr>
          <w:rFonts w:ascii="宋体"/>
          <w:color w:val="auto"/>
          <w:sz w:val="24"/>
          <w:highlight w:val="none"/>
        </w:rPr>
      </w:pPr>
      <w:r>
        <w:rPr>
          <w:rFonts w:ascii="宋体" w:hAnsi="宋体"/>
          <w:color w:val="auto"/>
          <w:sz w:val="24"/>
          <w:highlight w:val="none"/>
        </w:rPr>
        <w:t xml:space="preserve">                             </w:t>
      </w:r>
    </w:p>
    <w:p>
      <w:pPr>
        <w:spacing w:line="360" w:lineRule="auto"/>
        <w:jc w:val="center"/>
        <w:rPr>
          <w:rFonts w:hint="eastAsia" w:ascii="宋体" w:hAnsi="宋体"/>
          <w:color w:val="auto"/>
          <w:sz w:val="30"/>
          <w:szCs w:val="30"/>
          <w:highlight w:val="none"/>
        </w:rPr>
      </w:pPr>
    </w:p>
    <w:p>
      <w:pPr>
        <w:spacing w:line="360" w:lineRule="auto"/>
        <w:jc w:val="center"/>
        <w:rPr>
          <w:rFonts w:hint="eastAsia" w:ascii="宋体" w:hAnsi="宋体"/>
          <w:color w:val="auto"/>
          <w:sz w:val="30"/>
          <w:szCs w:val="30"/>
          <w:highlight w:val="none"/>
        </w:rPr>
      </w:pPr>
    </w:p>
    <w:p>
      <w:pPr>
        <w:spacing w:line="360" w:lineRule="auto"/>
        <w:jc w:val="center"/>
        <w:rPr>
          <w:rFonts w:ascii="宋体" w:hAnsi="宋体"/>
          <w:color w:val="auto"/>
          <w:sz w:val="30"/>
          <w:szCs w:val="30"/>
          <w:highlight w:val="none"/>
        </w:rPr>
      </w:pPr>
    </w:p>
    <w:p>
      <w:pPr>
        <w:spacing w:line="360" w:lineRule="auto"/>
        <w:jc w:val="center"/>
        <w:rPr>
          <w:rFonts w:ascii="宋体" w:hAnsi="宋体"/>
          <w:color w:val="auto"/>
          <w:sz w:val="30"/>
          <w:szCs w:val="30"/>
          <w:highlight w:val="none"/>
        </w:rPr>
      </w:pPr>
    </w:p>
    <w:p>
      <w:pPr>
        <w:spacing w:line="360" w:lineRule="auto"/>
        <w:jc w:val="center"/>
        <w:rPr>
          <w:rFonts w:ascii="宋体" w:hAnsi="宋体"/>
          <w:color w:val="auto"/>
          <w:sz w:val="30"/>
          <w:szCs w:val="30"/>
          <w:highlight w:val="none"/>
        </w:rPr>
      </w:pPr>
    </w:p>
    <w:p>
      <w:pPr>
        <w:spacing w:line="360" w:lineRule="auto"/>
        <w:jc w:val="center"/>
        <w:rPr>
          <w:rFonts w:ascii="宋体" w:hAnsi="宋体"/>
          <w:color w:val="auto"/>
          <w:sz w:val="30"/>
          <w:szCs w:val="30"/>
          <w:highlight w:val="none"/>
        </w:rPr>
      </w:pPr>
    </w:p>
    <w:p>
      <w:pPr>
        <w:spacing w:line="360" w:lineRule="auto"/>
        <w:jc w:val="center"/>
        <w:rPr>
          <w:rFonts w:ascii="宋体" w:hAnsi="宋体"/>
          <w:color w:val="auto"/>
          <w:sz w:val="30"/>
          <w:szCs w:val="30"/>
          <w:highlight w:val="none"/>
        </w:rPr>
      </w:pPr>
    </w:p>
    <w:p>
      <w:pPr>
        <w:spacing w:line="360" w:lineRule="auto"/>
        <w:jc w:val="center"/>
        <w:rPr>
          <w:rFonts w:ascii="宋体" w:hAnsi="宋体"/>
          <w:color w:val="auto"/>
          <w:sz w:val="30"/>
          <w:szCs w:val="30"/>
          <w:highlight w:val="none"/>
        </w:rPr>
      </w:pPr>
    </w:p>
    <w:p>
      <w:pPr>
        <w:pStyle w:val="32"/>
        <w:adjustRightInd w:val="0"/>
        <w:snapToGrid w:val="0"/>
        <w:spacing w:line="600" w:lineRule="exact"/>
        <w:rPr>
          <w:rFonts w:ascii="宋体" w:hAnsi="宋体"/>
          <w:b/>
          <w:color w:val="auto"/>
          <w:sz w:val="24"/>
          <w:highlight w:val="none"/>
        </w:rPr>
        <w:sectPr>
          <w:headerReference r:id="rId10" w:type="default"/>
          <w:footerReference r:id="rId11" w:type="default"/>
          <w:pgSz w:w="11926" w:h="16867"/>
          <w:pgMar w:top="1417" w:right="1531" w:bottom="1417" w:left="1531" w:header="720" w:footer="720" w:gutter="0"/>
          <w:pgBorders>
            <w:top w:val="none" w:sz="0" w:space="0"/>
            <w:left w:val="none" w:sz="0" w:space="0"/>
            <w:bottom w:val="none" w:sz="0" w:space="0"/>
            <w:right w:val="none" w:sz="0" w:space="0"/>
          </w:pgBorders>
          <w:cols w:space="720" w:num="1"/>
          <w:docGrid w:linePitch="1" w:charSpace="0"/>
        </w:sectPr>
      </w:pPr>
      <w:bookmarkStart w:id="576" w:name="_Toc25977"/>
      <w:bookmarkStart w:id="577" w:name="_Toc478548678"/>
    </w:p>
    <w:p>
      <w:pPr>
        <w:pStyle w:val="32"/>
        <w:adjustRightInd w:val="0"/>
        <w:snapToGrid w:val="0"/>
        <w:spacing w:line="600" w:lineRule="exact"/>
        <w:rPr>
          <w:rFonts w:hint="eastAsia" w:ascii="仿宋_GB2312" w:hAnsi="仿宋_GB2312"/>
          <w:color w:val="auto"/>
          <w:sz w:val="32"/>
          <w:highlight w:val="none"/>
        </w:rPr>
      </w:pPr>
      <w:bookmarkStart w:id="578" w:name="_Toc22027"/>
      <w:r>
        <w:rPr>
          <w:rFonts w:hint="eastAsia" w:ascii="宋体" w:hAnsi="宋体"/>
          <w:b/>
          <w:color w:val="auto"/>
          <w:sz w:val="24"/>
          <w:highlight w:val="none"/>
        </w:rPr>
        <w:t>附件四</w:t>
      </w:r>
    </w:p>
    <w:p>
      <w:pPr>
        <w:spacing w:line="360" w:lineRule="auto"/>
        <w:jc w:val="center"/>
        <w:rPr>
          <w:rFonts w:hint="eastAsia" w:ascii="宋体" w:hAnsi="宋体"/>
          <w:b/>
          <w:color w:val="auto"/>
          <w:sz w:val="32"/>
          <w:highlight w:val="none"/>
        </w:rPr>
      </w:pPr>
      <w:r>
        <w:rPr>
          <w:rFonts w:hint="eastAsia" w:ascii="宋体" w:hAnsi="宋体"/>
          <w:b/>
          <w:color w:val="auto"/>
          <w:sz w:val="32"/>
          <w:highlight w:val="none"/>
        </w:rPr>
        <w:t>建设领域工人工资支付专用账户管理协议书</w:t>
      </w:r>
    </w:p>
    <w:p>
      <w:pPr>
        <w:pStyle w:val="32"/>
        <w:spacing w:line="600" w:lineRule="exact"/>
        <w:jc w:val="center"/>
        <w:rPr>
          <w:rFonts w:hint="eastAsia" w:ascii="仿宋_GB2312" w:eastAsia="仿宋_GB2312"/>
          <w:color w:val="auto"/>
          <w:sz w:val="28"/>
          <w:highlight w:val="none"/>
        </w:rPr>
      </w:pPr>
      <w:r>
        <w:rPr>
          <w:rFonts w:hint="eastAsia" w:ascii="仿宋_GB2312" w:eastAsia="仿宋_GB2312"/>
          <w:color w:val="auto"/>
          <w:sz w:val="28"/>
          <w:highlight w:val="none"/>
        </w:rPr>
        <w:t>（另附）</w:t>
      </w:r>
    </w:p>
    <w:p>
      <w:pPr>
        <w:pStyle w:val="32"/>
        <w:spacing w:line="600" w:lineRule="exact"/>
        <w:rPr>
          <w:rFonts w:hint="eastAsia" w:ascii="宋体" w:hAnsi="宋体"/>
          <w:color w:val="auto"/>
          <w:sz w:val="24"/>
          <w:highlight w:val="none"/>
        </w:rPr>
      </w:pPr>
      <w:r>
        <w:rPr>
          <w:rFonts w:hint="eastAsia" w:ascii="宋体" w:hAnsi="宋体"/>
          <w:color w:val="auto"/>
          <w:sz w:val="24"/>
          <w:highlight w:val="none"/>
        </w:rPr>
        <w:t>甲方（建设单位或业主）：</w:t>
      </w:r>
    </w:p>
    <w:p>
      <w:pPr>
        <w:pStyle w:val="32"/>
        <w:spacing w:line="600" w:lineRule="exact"/>
        <w:rPr>
          <w:rFonts w:hint="eastAsia" w:ascii="宋体" w:hAnsi="宋体"/>
          <w:color w:val="auto"/>
          <w:sz w:val="24"/>
          <w:highlight w:val="none"/>
        </w:rPr>
      </w:pPr>
      <w:r>
        <w:rPr>
          <w:rFonts w:hint="eastAsia" w:ascii="宋体" w:hAnsi="宋体"/>
          <w:color w:val="auto"/>
          <w:sz w:val="24"/>
          <w:highlight w:val="none"/>
        </w:rPr>
        <w:t>乙方（施工企业）：</w:t>
      </w:r>
    </w:p>
    <w:p>
      <w:pPr>
        <w:pStyle w:val="32"/>
        <w:spacing w:line="600" w:lineRule="exact"/>
        <w:rPr>
          <w:rFonts w:hint="eastAsia" w:ascii="宋体" w:hAnsi="宋体"/>
          <w:color w:val="auto"/>
          <w:sz w:val="24"/>
          <w:highlight w:val="none"/>
        </w:rPr>
      </w:pPr>
      <w:r>
        <w:rPr>
          <w:rFonts w:hint="eastAsia" w:ascii="宋体" w:hAnsi="宋体"/>
          <w:color w:val="auto"/>
          <w:sz w:val="24"/>
          <w:highlight w:val="none"/>
        </w:rPr>
        <w:t>丙方（开户银行）：</w:t>
      </w:r>
    </w:p>
    <w:p>
      <w:pPr>
        <w:pStyle w:val="33"/>
        <w:spacing w:line="600" w:lineRule="exact"/>
        <w:rPr>
          <w:rFonts w:hint="eastAsia" w:ascii="宋体" w:hAnsi="宋体"/>
          <w:color w:val="auto"/>
          <w:sz w:val="24"/>
          <w:highlight w:val="none"/>
        </w:rPr>
      </w:pPr>
      <w:r>
        <w:rPr>
          <w:rFonts w:hint="eastAsia" w:ascii="宋体" w:hAnsi="宋体"/>
          <w:color w:val="auto"/>
          <w:sz w:val="24"/>
          <w:highlight w:val="none"/>
        </w:rPr>
        <w:t>丁方（人社部门）：</w:t>
      </w:r>
    </w:p>
    <w:p>
      <w:pPr>
        <w:pStyle w:val="32"/>
        <w:spacing w:line="600" w:lineRule="exact"/>
        <w:rPr>
          <w:rFonts w:hint="eastAsia" w:ascii="宋体" w:hAnsi="宋体"/>
          <w:color w:val="auto"/>
          <w:sz w:val="24"/>
          <w:highlight w:val="none"/>
        </w:rPr>
      </w:pPr>
      <w:r>
        <w:rPr>
          <w:rFonts w:hint="eastAsia" w:ascii="宋体" w:hAnsi="宋体"/>
          <w:color w:val="auto"/>
          <w:sz w:val="24"/>
          <w:highlight w:val="none"/>
        </w:rPr>
        <w:t>戊方（行业主管部门）：</w:t>
      </w:r>
    </w:p>
    <w:p>
      <w:pPr>
        <w:pStyle w:val="32"/>
        <w:spacing w:line="600" w:lineRule="exact"/>
        <w:ind w:firstLine="480" w:firstLineChars="200"/>
        <w:rPr>
          <w:rFonts w:hint="eastAsia" w:ascii="宋体" w:hAnsi="宋体"/>
          <w:color w:val="auto"/>
          <w:sz w:val="24"/>
          <w:highlight w:val="none"/>
        </w:rPr>
      </w:pPr>
    </w:p>
    <w:p>
      <w:pPr>
        <w:pStyle w:val="32"/>
        <w:wordWrap w:val="0"/>
        <w:spacing w:line="600" w:lineRule="exact"/>
        <w:ind w:firstLine="480" w:firstLineChars="200"/>
        <w:rPr>
          <w:rFonts w:hint="eastAsia" w:ascii="宋体" w:hAnsi="宋体"/>
          <w:color w:val="auto"/>
          <w:sz w:val="24"/>
          <w:highlight w:val="none"/>
        </w:rPr>
      </w:pPr>
      <w:r>
        <w:rPr>
          <w:rFonts w:hint="eastAsia" w:ascii="宋体" w:hAnsi="宋体"/>
          <w:color w:val="auto"/>
          <w:sz w:val="24"/>
          <w:highlight w:val="none"/>
        </w:rPr>
        <w:t>为规范我市建设领域工人工资支付行为，预防和解决拖欠或克扣建设领域工人工资问题，维护劳动者合法权益，根据《广东省建设领域工人工资支付分账管理暂行办法》和《云浮市建设领域工人工资支付分账管理实施细则》的有关规定，现甲、乙、丙、丁、戊五方就甲方位于</w:t>
      </w:r>
      <w:r>
        <w:rPr>
          <w:rFonts w:hint="eastAsia" w:ascii="宋体" w:hAnsi="宋体"/>
          <w:color w:val="auto"/>
          <w:sz w:val="24"/>
          <w:highlight w:val="none"/>
          <w:u w:val="single"/>
        </w:rPr>
        <w:t xml:space="preserve">                         的                     </w:t>
      </w:r>
      <w:r>
        <w:rPr>
          <w:rFonts w:hint="eastAsia" w:ascii="宋体" w:hAnsi="宋体"/>
          <w:color w:val="auto"/>
          <w:sz w:val="24"/>
          <w:highlight w:val="none"/>
        </w:rPr>
        <w:t>工程项目的工人工资支付专用账户开户及监管等事项签订如下协议书，并承诺严格遵守，全面履行责任。</w:t>
      </w:r>
    </w:p>
    <w:p>
      <w:pPr>
        <w:pStyle w:val="34"/>
        <w:adjustRightInd w:val="0"/>
        <w:snapToGrid w:val="0"/>
        <w:spacing w:line="520" w:lineRule="exact"/>
        <w:ind w:firstLine="480" w:firstLineChars="200"/>
        <w:rPr>
          <w:rFonts w:hint="eastAsia" w:ascii="宋体" w:hAnsi="宋体"/>
          <w:color w:val="auto"/>
          <w:sz w:val="24"/>
          <w:highlight w:val="none"/>
        </w:rPr>
      </w:pPr>
      <w:bookmarkStart w:id="579" w:name="_Hlk490688925"/>
      <w:r>
        <w:rPr>
          <w:rFonts w:hint="eastAsia" w:ascii="宋体" w:hAnsi="宋体"/>
          <w:color w:val="auto"/>
          <w:sz w:val="24"/>
          <w:highlight w:val="none"/>
        </w:rPr>
        <w:t>一、账户开立</w:t>
      </w:r>
    </w:p>
    <w:bookmarkEnd w:id="579"/>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（一）乙方以工程项目为单位，在丙方开立建设领域工人工资支付专用账户（简称：工资专户）用于支付工人工资，账户接受丁方、戊方的监管。</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（二）工资专户对应的工程施工合同信息如下： </w:t>
      </w:r>
    </w:p>
    <w:p>
      <w:pPr>
        <w:pStyle w:val="34"/>
        <w:adjustRightInd w:val="0"/>
        <w:snapToGrid w:val="0"/>
        <w:spacing w:line="52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工程名称：</w:t>
      </w:r>
      <w:r>
        <w:rPr>
          <w:rFonts w:hint="eastAsia" w:ascii="宋体" w:hAnsi="宋体"/>
          <w:color w:val="auto"/>
          <w:sz w:val="24"/>
          <w:highlight w:val="none"/>
          <w:u w:val="single"/>
        </w:rPr>
        <w:t xml:space="preserve">                                  </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工程地址：</w:t>
      </w:r>
      <w:r>
        <w:rPr>
          <w:rFonts w:hint="eastAsia" w:ascii="宋体" w:hAnsi="宋体"/>
          <w:color w:val="auto"/>
          <w:sz w:val="24"/>
          <w:highlight w:val="none"/>
          <w:u w:val="single"/>
        </w:rPr>
        <w:t xml:space="preserve">                                  </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施工总包合同金额（单位：元）：</w:t>
      </w:r>
      <w:r>
        <w:rPr>
          <w:rFonts w:hint="eastAsia" w:ascii="宋体" w:hAnsi="宋体"/>
          <w:color w:val="auto"/>
          <w:sz w:val="24"/>
          <w:highlight w:val="none"/>
          <w:u w:val="single"/>
        </w:rPr>
        <w:t xml:space="preserve">                   </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工资支付比例：</w:t>
      </w:r>
      <w:r>
        <w:rPr>
          <w:rFonts w:hint="eastAsia" w:ascii="宋体" w:hAnsi="宋体"/>
          <w:color w:val="auto"/>
          <w:sz w:val="24"/>
          <w:highlight w:val="none"/>
          <w:u w:val="single"/>
        </w:rPr>
        <w:t xml:space="preserve">                              </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工程类别：</w:t>
      </w:r>
      <w:r>
        <w:rPr>
          <w:rFonts w:hint="eastAsia" w:ascii="宋体" w:hAnsi="宋体"/>
          <w:color w:val="auto"/>
          <w:sz w:val="24"/>
          <w:highlight w:val="none"/>
          <w:u w:val="single"/>
        </w:rPr>
        <w:t xml:space="preserve">                                  </w:t>
      </w:r>
    </w:p>
    <w:p>
      <w:pPr>
        <w:pStyle w:val="2"/>
        <w:adjustRightInd w:val="0"/>
        <w:snapToGrid w:val="0"/>
        <w:spacing w:after="0" w:line="520" w:lineRule="exact"/>
        <w:ind w:firstLine="480" w:firstLineChars="200"/>
        <w:rPr>
          <w:rStyle w:val="35"/>
          <w:rFonts w:hint="eastAsia" w:ascii="宋体" w:hAnsi="宋体"/>
          <w:color w:val="auto"/>
          <w:sz w:val="24"/>
          <w:highlight w:val="none"/>
        </w:rPr>
      </w:pPr>
      <w:r>
        <w:rPr>
          <w:rStyle w:val="35"/>
          <w:rFonts w:hint="eastAsia" w:ascii="宋体" w:hAnsi="宋体"/>
          <w:color w:val="auto"/>
          <w:sz w:val="24"/>
          <w:highlight w:val="none"/>
        </w:rPr>
        <w:t>（三）本账户的资金专项用于支付上述工程项目的工人工资。本专户开户信息如下：</w:t>
      </w:r>
    </w:p>
    <w:p>
      <w:pPr>
        <w:pStyle w:val="2"/>
        <w:adjustRightInd w:val="0"/>
        <w:snapToGrid w:val="0"/>
        <w:spacing w:after="0" w:line="520" w:lineRule="exact"/>
        <w:ind w:firstLine="480" w:firstLineChars="200"/>
        <w:rPr>
          <w:rFonts w:hint="eastAsia" w:ascii="宋体" w:hAnsi="宋体"/>
          <w:color w:val="auto"/>
          <w:sz w:val="24"/>
          <w:highlight w:val="none"/>
        </w:rPr>
      </w:pPr>
      <w:r>
        <w:rPr>
          <w:rStyle w:val="35"/>
          <w:rFonts w:hint="eastAsia" w:ascii="宋体" w:hAnsi="宋体"/>
          <w:color w:val="auto"/>
          <w:sz w:val="24"/>
          <w:highlight w:val="none"/>
        </w:rPr>
        <w:t xml:space="preserve">账户名称： </w:t>
      </w:r>
      <w:r>
        <w:rPr>
          <w:rStyle w:val="35"/>
          <w:rFonts w:hint="eastAsia" w:ascii="宋体" w:hAnsi="宋体"/>
          <w:color w:val="auto"/>
          <w:sz w:val="24"/>
          <w:highlight w:val="none"/>
          <w:u w:val="single"/>
        </w:rPr>
        <w:t xml:space="preserve">                                </w:t>
      </w:r>
    </w:p>
    <w:p>
      <w:pPr>
        <w:pStyle w:val="2"/>
        <w:adjustRightInd w:val="0"/>
        <w:snapToGrid w:val="0"/>
        <w:spacing w:after="0" w:line="520" w:lineRule="exact"/>
        <w:ind w:firstLine="480" w:firstLineChars="200"/>
        <w:rPr>
          <w:rFonts w:hint="eastAsia" w:ascii="宋体" w:hAnsi="宋体"/>
          <w:color w:val="auto"/>
          <w:sz w:val="24"/>
          <w:highlight w:val="none"/>
        </w:rPr>
      </w:pPr>
      <w:r>
        <w:rPr>
          <w:rStyle w:val="35"/>
          <w:rFonts w:hint="eastAsia" w:ascii="宋体" w:hAnsi="宋体"/>
          <w:color w:val="auto"/>
          <w:sz w:val="24"/>
          <w:highlight w:val="none"/>
        </w:rPr>
        <w:t xml:space="preserve">账号： </w:t>
      </w:r>
      <w:r>
        <w:rPr>
          <w:rStyle w:val="36"/>
          <w:rFonts w:hint="eastAsia" w:ascii="宋体" w:hAnsi="宋体"/>
          <w:color w:val="auto"/>
          <w:sz w:val="24"/>
          <w:highlight w:val="none"/>
          <w:u w:val="single"/>
        </w:rPr>
        <w:t xml:space="preserve">                                    </w:t>
      </w:r>
    </w:p>
    <w:p>
      <w:pPr>
        <w:pStyle w:val="34"/>
        <w:adjustRightInd w:val="0"/>
        <w:snapToGrid w:val="0"/>
        <w:spacing w:line="520" w:lineRule="exact"/>
        <w:ind w:firstLine="480" w:firstLineChars="200"/>
        <w:rPr>
          <w:rFonts w:hint="eastAsia" w:ascii="宋体" w:hAnsi="宋体"/>
          <w:color w:val="auto"/>
          <w:sz w:val="24"/>
          <w:highlight w:val="none"/>
        </w:rPr>
      </w:pPr>
      <w:r>
        <w:rPr>
          <w:rStyle w:val="35"/>
          <w:rFonts w:hint="eastAsia" w:ascii="宋体" w:hAnsi="宋体"/>
          <w:color w:val="auto"/>
          <w:sz w:val="24"/>
          <w:highlight w:val="none"/>
        </w:rPr>
        <w:t>开户银行名称：</w:t>
      </w:r>
      <w:bookmarkStart w:id="580" w:name="_Hlk492831181"/>
      <w:r>
        <w:rPr>
          <w:rStyle w:val="35"/>
          <w:rFonts w:hint="eastAsia" w:ascii="宋体" w:hAnsi="宋体"/>
          <w:color w:val="auto"/>
          <w:sz w:val="24"/>
          <w:highlight w:val="none"/>
          <w:u w:val="single"/>
        </w:rPr>
        <w:t xml:space="preserve">                             </w:t>
      </w:r>
    </w:p>
    <w:bookmarkEnd w:id="580"/>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二、账户资金收入</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本项目施工总包合同价</w:t>
      </w:r>
      <w:r>
        <w:rPr>
          <w:rFonts w:hint="eastAsia" w:ascii="宋体" w:hAnsi="宋体"/>
          <w:color w:val="auto"/>
          <w:sz w:val="24"/>
          <w:highlight w:val="none"/>
          <w:u w:val="single"/>
        </w:rPr>
        <w:t xml:space="preserve">      </w:t>
      </w:r>
      <w:r>
        <w:rPr>
          <w:rFonts w:hint="eastAsia" w:ascii="宋体" w:hAnsi="宋体"/>
          <w:color w:val="auto"/>
          <w:sz w:val="24"/>
          <w:highlight w:val="none"/>
        </w:rPr>
        <w:t>元人民币。在账户开立后，甲方按照施工总包合同及相关补充协议，按月按实际进度将工人工资款划入本专户（不低于工程进度款15%）。</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三、账户资金支出</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（一）本专户资金只能用于发放工人工资。</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二）丙方从本专户向工人个人账户发放工资时，应根据乙方和丙方共同签订的《代发工资协议》要求，由乙方向丙方提交加盖预留印鉴的代发工资汇总表（发放批次、总笔数、总金额）和经加密的工资明细表电子文件，丙方核验乙方提交的纸质文件与电子文件的批次、笔数、金额一致后，按乙方提交的工资明细表电子文件2个工作日内办理代发工资。</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（三）分包单位委托乙方代发分包单位工人工资的，还应提交分包单位与乙方签订的《代发工资委托书》。</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四、资金安全与账户监管</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（一）丁方、戊方同意丙方作为乙方设立专用账户指定的银行。</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（二）本专户不得提取现金，不得开通网上银行等电子支付渠道，办理单位结算卡时仅开通查询功能。除了转账划入施工项目对应分包单位的工资专户外，不出售支票等结算凭证。</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（三）乙方不得使用本专户资金向没有纳入实名登记范围的工人发放工人工资。</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（四）丙方向乙方支付的利息、违约金等必须划至本专户，不得划入其他账户。</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（五）乙方授权丙方向县级以上人社部门、行业主管部门提供本专户相关信息，包括账户开立、变更、注销、流水、划账进度、异常信息以及主管部门要求的其他信息。</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（六）丙方做好工人工资专用账户资金的管理工作，防止任何单位或个人擅自挪用。因过错导致工资保证金流失的，依法承担相应的法律责任；</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（七）丁方、戊方查询专用账户资金情况时，丙方应当予以提供相应的服务；</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八）专用账户监管期间出现被司法行政机关等有关单位对该工人工资专用账户查封、冻结、扣划情况时，丙方按相关程序处理，同时必须立即书面通知甲、乙、丁、戊四方。如出现上述情况，由乙方承担一切法律责任。</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六、账户注销</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一）乙方办理工人工资支付专用账户注销手续的，应当取得甲方对工程完工且施工单位已结清工人工资的确认意见，并征得人力社部门、行业主管部门审批同意，并向丙方出具《注销工人工资支付专用账户申请表》。</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（二）乙方本专户工程已完工（或甲方与乙方解除施工合同关系）、且从事本工程的工人工资已足额支付，乙方可以办理本专户注销手续。本专户被注销后，账内余额归乙方所有。</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（三）本协议终止的，乙方可办理本专户注销手续，丙方应当配合；本专户被注销时，丙方应当将账内余额归划转到乙方基本账户。</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七、存款利率及计息规则</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一）存款利率依据中国人民银行公布的活期存款基准利率以及丙方有权审批部门审批同意的浮动幅度确定。如在本协议期内，人行调整活期存款基准利率，本协议基准利率同步调整；如遇国家实施存款利率市场化导致存款基准利率不存在的，本协议基准利率和浮动幅度由乙、丙双方重新协商确定。</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（二）起息日：起息日自资金到达本专户之日起计算，按月/季/半年/1年结息，付息日为</w:t>
      </w:r>
      <w:r>
        <w:rPr>
          <w:rFonts w:hint="eastAsia" w:ascii="宋体" w:hAnsi="宋体"/>
          <w:color w:val="auto"/>
          <w:sz w:val="24"/>
          <w:highlight w:val="none"/>
          <w:u w:val="single"/>
        </w:rPr>
        <w:t xml:space="preserve">   </w:t>
      </w:r>
      <w:r>
        <w:rPr>
          <w:rFonts w:hint="eastAsia" w:ascii="宋体" w:hAnsi="宋体"/>
          <w:color w:val="auto"/>
          <w:sz w:val="24"/>
          <w:highlight w:val="none"/>
        </w:rPr>
        <w:t>日。丙方应在付息日将利息款划付至本专户。</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（三）丙方在向乙方支付存款利息时，遵循中国人民银行关于人民币存款计息的规定办理。</w:t>
      </w:r>
    </w:p>
    <w:p>
      <w:pPr>
        <w:pStyle w:val="34"/>
        <w:adjustRightInd w:val="0"/>
        <w:snapToGrid w:val="0"/>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本协议书一式五份，甲、乙、丙、丁、戊五方各执一份。</w:t>
      </w:r>
    </w:p>
    <w:p>
      <w:pPr>
        <w:pStyle w:val="32"/>
        <w:spacing w:line="600" w:lineRule="exact"/>
        <w:rPr>
          <w:rFonts w:hint="eastAsia" w:ascii="仿宋_GB2312" w:eastAsia="仿宋_GB2312"/>
          <w:color w:val="auto"/>
          <w:sz w:val="32"/>
          <w:highlight w:val="none"/>
        </w:rPr>
      </w:pPr>
    </w:p>
    <w:p>
      <w:pPr>
        <w:pStyle w:val="32"/>
        <w:spacing w:line="600" w:lineRule="exact"/>
        <w:rPr>
          <w:rFonts w:hint="eastAsia" w:ascii="宋体" w:hAnsi="宋体"/>
          <w:color w:val="auto"/>
          <w:sz w:val="24"/>
          <w:szCs w:val="24"/>
          <w:highlight w:val="none"/>
        </w:rPr>
      </w:pPr>
      <w:r>
        <w:rPr>
          <w:rFonts w:hint="eastAsia" w:ascii="宋体" w:hAnsi="宋体"/>
          <w:color w:val="auto"/>
          <w:sz w:val="24"/>
          <w:szCs w:val="24"/>
          <w:highlight w:val="none"/>
        </w:rPr>
        <w:t>甲方法定代表人签章：                  乙方法定代表人签章：</w:t>
      </w:r>
    </w:p>
    <w:p>
      <w:pPr>
        <w:pStyle w:val="32"/>
        <w:spacing w:line="600" w:lineRule="exact"/>
        <w:ind w:firstLine="840" w:firstLineChars="350"/>
        <w:rPr>
          <w:rFonts w:hint="eastAsia" w:ascii="宋体" w:hAnsi="宋体"/>
          <w:color w:val="auto"/>
          <w:sz w:val="24"/>
          <w:szCs w:val="24"/>
          <w:highlight w:val="none"/>
        </w:rPr>
      </w:pPr>
      <w:r>
        <w:rPr>
          <w:rFonts w:hint="eastAsia" w:ascii="宋体" w:hAnsi="宋体"/>
          <w:color w:val="auto"/>
          <w:sz w:val="24"/>
          <w:szCs w:val="24"/>
          <w:highlight w:val="none"/>
        </w:rPr>
        <w:t>甲方（印章）                          乙方（印章）</w:t>
      </w:r>
    </w:p>
    <w:p>
      <w:pPr>
        <w:pStyle w:val="32"/>
        <w:spacing w:line="600" w:lineRule="exact"/>
        <w:rPr>
          <w:rFonts w:hint="eastAsia" w:ascii="宋体" w:hAnsi="宋体"/>
          <w:color w:val="auto"/>
          <w:sz w:val="24"/>
          <w:szCs w:val="24"/>
          <w:highlight w:val="none"/>
        </w:rPr>
      </w:pPr>
    </w:p>
    <w:p>
      <w:pPr>
        <w:pStyle w:val="32"/>
        <w:spacing w:line="6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pStyle w:val="32"/>
        <w:spacing w:line="600" w:lineRule="exact"/>
        <w:rPr>
          <w:rFonts w:hint="eastAsia" w:ascii="宋体" w:hAnsi="宋体"/>
          <w:color w:val="auto"/>
          <w:sz w:val="24"/>
          <w:szCs w:val="24"/>
          <w:highlight w:val="none"/>
        </w:rPr>
      </w:pPr>
    </w:p>
    <w:p>
      <w:pPr>
        <w:pStyle w:val="32"/>
        <w:spacing w:line="600" w:lineRule="exact"/>
        <w:rPr>
          <w:rFonts w:hint="eastAsia" w:ascii="宋体" w:hAnsi="宋体"/>
          <w:color w:val="auto"/>
          <w:sz w:val="24"/>
          <w:szCs w:val="24"/>
          <w:highlight w:val="none"/>
        </w:rPr>
      </w:pPr>
      <w:r>
        <w:rPr>
          <w:rFonts w:hint="eastAsia" w:ascii="宋体" w:hAnsi="宋体"/>
          <w:color w:val="auto"/>
          <w:sz w:val="24"/>
          <w:szCs w:val="24"/>
          <w:highlight w:val="none"/>
        </w:rPr>
        <w:t>丙方负责人签章：                      丁方、戊方主要负责人签章：</w:t>
      </w:r>
    </w:p>
    <w:p>
      <w:pPr>
        <w:pStyle w:val="32"/>
        <w:spacing w:line="6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丙方（印章）                   人力部门        行业主管部门   </w:t>
      </w:r>
    </w:p>
    <w:p>
      <w:pPr>
        <w:pStyle w:val="32"/>
        <w:spacing w:line="6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（印章）             （印章）</w:t>
      </w:r>
    </w:p>
    <w:p>
      <w:pPr>
        <w:pStyle w:val="32"/>
        <w:spacing w:line="6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pStyle w:val="32"/>
        <w:spacing w:line="600" w:lineRule="exact"/>
        <w:ind w:firstLine="480" w:firstLineChars="200"/>
        <w:rPr>
          <w:rFonts w:hint="eastAsia" w:ascii="仿宋_GB2312" w:eastAsia="仿宋_GB2312"/>
          <w:color w:val="auto"/>
          <w:sz w:val="32"/>
          <w:highlight w:val="none"/>
        </w:rPr>
      </w:pPr>
      <w:r>
        <w:rPr>
          <w:rFonts w:hint="eastAsia" w:ascii="宋体" w:hAnsi="宋体"/>
          <w:color w:val="auto"/>
          <w:sz w:val="24"/>
          <w:szCs w:val="24"/>
          <w:highlight w:val="none"/>
        </w:rPr>
        <w:t xml:space="preserve">                                       年   月   日</w:t>
      </w:r>
    </w:p>
    <w:p>
      <w:pPr>
        <w:jc w:val="left"/>
        <w:rPr>
          <w:rFonts w:hint="eastAsia" w:ascii="宋体" w:hAnsi="宋体"/>
          <w:b/>
          <w:color w:val="auto"/>
          <w:sz w:val="24"/>
          <w:highlight w:val="none"/>
        </w:rPr>
        <w:sectPr>
          <w:footerReference r:id="rId12" w:type="default"/>
          <w:pgSz w:w="11926" w:h="16867"/>
          <w:pgMar w:top="1417" w:right="1531" w:bottom="1417" w:left="1531" w:header="720" w:footer="720" w:gutter="0"/>
          <w:pgBorders>
            <w:top w:val="none" w:sz="0" w:space="0"/>
            <w:left w:val="none" w:sz="0" w:space="0"/>
            <w:bottom w:val="none" w:sz="0" w:space="0"/>
            <w:right w:val="none" w:sz="0" w:space="0"/>
          </w:pgBorders>
          <w:lnNumType w:countBy="0" w:distance="360"/>
          <w:cols w:space="720" w:num="1"/>
          <w:docGrid w:type="lines" w:linePitch="312" w:charSpace="0"/>
        </w:sectPr>
      </w:pPr>
    </w:p>
    <w:p>
      <w:pPr>
        <w:jc w:val="left"/>
        <w:rPr>
          <w:rFonts w:hint="eastAsia"/>
          <w:color w:val="auto"/>
          <w:sz w:val="44"/>
          <w:szCs w:val="36"/>
          <w:highlight w:val="none"/>
        </w:rPr>
      </w:pPr>
      <w:r>
        <w:rPr>
          <w:rFonts w:ascii="宋体" w:hAnsi="宋体"/>
          <w:b/>
          <w:color w:val="auto"/>
          <w:sz w:val="24"/>
          <w:highlight w:val="none"/>
        </w:rPr>
        <w:t>附件</w:t>
      </w:r>
      <w:r>
        <w:rPr>
          <w:rFonts w:hint="eastAsia" w:ascii="宋体" w:hAnsi="宋体"/>
          <w:b/>
          <w:color w:val="auto"/>
          <w:sz w:val="24"/>
          <w:highlight w:val="none"/>
        </w:rPr>
        <w:t>五</w:t>
      </w:r>
    </w:p>
    <w:p>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施工安全生产责任书</w:t>
      </w:r>
    </w:p>
    <w:p>
      <w:pPr>
        <w:spacing w:line="360" w:lineRule="auto"/>
        <w:rPr>
          <w:color w:val="auto"/>
          <w:highlight w:val="none"/>
        </w:rPr>
      </w:pPr>
      <w:r>
        <w:rPr>
          <w:rFonts w:hint="eastAsia"/>
          <w:color w:val="auto"/>
          <w:highlight w:val="none"/>
        </w:rPr>
        <w:t>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为认真贯彻“安全第一，预防为主，综合管理”的方针，进一步加强建筑施工安全生产管理，提高施工现场管理水平，落实各级安全生产责任制，完善各类安全防护设施，防止和减少生产安全事故，保障人身和财产安全，维护社会稳定，构建和谐社会。根据中华人民共和国《建筑法》、《安全生产法》、《建设工程安全管理条例》、等相关制度，制定本建筑施工安全生产责任书。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凡在云浮新区范围内的建设工程，施工单位(人员)必须云浮新区建设单位签订本责任书。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一、甲乙双方要认真贯彻执行安全生产的政策法规，强化安全意识，通过健全规章，加强防范，完善施工管理，发扬敢管、敢抓、敢处分的“三敢精神”，实现安全生产目标。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二、安全生产责任书期限：自进场施工至工程完工为止。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三、甲方责任及义务：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1、对安全生产工作进行整体布置，管理，负责开展日常的安全生产大检查，对发现的的问题及薄弱环节，督促限期整改。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2、对乙方提出的安全生产方面的问题，甲方应及时答复或三天内处理、解决。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3、向乙方及时传达上级、地方政府部门等关于安全生产的有关文件精神。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四、乙方责任及义务：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1、依法对所施工的工程安全生产工作全面负责，是安全生产第一责任人。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应建立健全安全生产责任制度和安全教育培训制度，制定安全生产规章制度和操作规程，保证安全生产条件所需资金的投入，对所承担的建设工程进行定期和专项安全检查，检查中发现隐患或违章作业应及时停业整改。如有较大安全隐患必须及时向安全管理部门汇报，制定措施，按照“三定原则”落实。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认真贯彻执行国家、省、市有关安全生产法律、法规，建立安全生产领导小组，健全安全生产管理网络，按照行业标准及规范组织实施。随工程进度各项安全防护设施及时到位。施工现场的道路、围挡、大门、消防设施、临时用电、办公室及其它临时设施均必须达到标准化施工的要求。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必须在施工现场建立消防安全责任制度，确定消防安全责任人，制定用火、用电、使用易燃易爆材料等各项消防安全管理制度和操作规程，设置消防水源、配备消防设施和灭火器材，并在施工现场入口处设置明显标志。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5、工程总负责人、技术负责人、专职安全员、特殊工种人员均应具备相应资格，持证上岗。设置一名兼职安全员，负责参与安全生产活动，并及时建立安全台帐。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6、安全防护用品必须购置具有生产许可证、产品备案证，各项指标均应达到合格标准，严禁不合格防护用品进入施工现场。并建立劳动防护用品储存、发放台帐。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7、塔吊入场前应检查合格；基础开挖、钎探、隐蔽工程验收，塔身及各种限位保险装置齐全、有效，塔吊安装必须有资质，安装人员持证上岗。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8、应严格执行建筑工程安全分阶段核验制度。基础、主体、竣工阶段，应在自检合格的基础上报相关机构验收，合格后方可进行下道工序的施工。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9、严格执行《工伤事故报告和处理制度》，事故发生后，应在两小时内向建筑行政主管部门及当地政府报告事故详情，保护事故现场，采取有效措施抢救人员和财产。对事故现场进行拍照或录像。对事故的处理按照“四不放过”的原则处理，情节严重的追究其法律责任。 </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五、</w:t>
      </w:r>
      <w:r>
        <w:rPr>
          <w:rFonts w:hint="eastAsia" w:ascii="宋体" w:hAnsi="宋体"/>
          <w:color w:val="auto"/>
          <w:sz w:val="24"/>
          <w:highlight w:val="none"/>
        </w:rPr>
        <w:t>本责任书作为</w:t>
      </w:r>
      <w:r>
        <w:rPr>
          <w:rFonts w:hint="eastAsia"/>
          <w:color w:val="auto"/>
          <w:sz w:val="24"/>
          <w:highlight w:val="none"/>
          <w:lang w:eastAsia="zh-CN"/>
        </w:rPr>
        <w:t>云安区生猪产业园—优质生猪标准化规模养殖基地项目</w:t>
      </w:r>
      <w:r>
        <w:rPr>
          <w:rFonts w:hint="eastAsia" w:ascii="宋体" w:hAnsi="宋体"/>
          <w:color w:val="auto"/>
          <w:sz w:val="24"/>
          <w:highlight w:val="none"/>
        </w:rPr>
        <w:t>合同的附件，与施工合同具有同等的法律效力，</w:t>
      </w:r>
      <w:r>
        <w:rPr>
          <w:rFonts w:hint="eastAsia" w:ascii="宋体" w:hAnsi="宋体" w:cs="宋体"/>
          <w:color w:val="auto"/>
          <w:sz w:val="24"/>
          <w:highlight w:val="none"/>
        </w:rPr>
        <w:t>壹式</w:t>
      </w:r>
      <w:r>
        <w:rPr>
          <w:rFonts w:hint="eastAsia" w:ascii="宋体" w:hAnsi="宋体"/>
          <w:color w:val="auto"/>
          <w:sz w:val="24"/>
          <w:highlight w:val="none"/>
        </w:rPr>
        <w:t>捌份，甲、乙双方各执肆份</w:t>
      </w:r>
      <w:r>
        <w:rPr>
          <w:rFonts w:hint="eastAsia" w:ascii="宋体" w:hAnsi="宋体" w:cs="宋体"/>
          <w:color w:val="auto"/>
          <w:sz w:val="24"/>
          <w:highlight w:val="none"/>
        </w:rPr>
        <w:t xml:space="preserve">，自签定之日起生效。  </w:t>
      </w:r>
    </w:p>
    <w:p>
      <w:pPr>
        <w:spacing w:line="360" w:lineRule="auto"/>
        <w:rPr>
          <w:rFonts w:ascii="宋体" w:hAnsi="宋体" w:cs="宋体"/>
          <w:color w:val="auto"/>
          <w:sz w:val="24"/>
          <w:highlight w:val="none"/>
        </w:rPr>
      </w:pPr>
      <w:r>
        <w:rPr>
          <w:rFonts w:hint="eastAsia" w:ascii="宋体" w:hAnsi="宋体" w:cs="宋体"/>
          <w:color w:val="auto"/>
          <w:sz w:val="24"/>
          <w:highlight w:val="none"/>
        </w:rPr>
        <w:t>　</w:t>
      </w:r>
    </w:p>
    <w:p>
      <w:pPr>
        <w:spacing w:line="360" w:lineRule="auto"/>
        <w:rPr>
          <w:rFonts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甲方：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乙方：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(盖章)                                   </w:t>
      </w:r>
      <w:r>
        <w:rPr>
          <w:rFonts w:ascii="宋体" w:hAnsi="宋体" w:cs="宋体"/>
          <w:color w:val="auto"/>
          <w:sz w:val="24"/>
          <w:highlight w:val="none"/>
        </w:rPr>
        <w:t xml:space="preserve">    </w:t>
      </w:r>
      <w:r>
        <w:rPr>
          <w:rFonts w:hint="eastAsia" w:ascii="宋体" w:hAnsi="宋体" w:cs="宋体"/>
          <w:color w:val="auto"/>
          <w:sz w:val="24"/>
          <w:highlight w:val="none"/>
        </w:rPr>
        <w:t xml:space="preserve">(盖章) </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法定代表人（签字</w:t>
      </w:r>
      <w:r>
        <w:rPr>
          <w:rFonts w:ascii="宋体" w:hAnsi="宋体" w:cs="宋体"/>
          <w:color w:val="auto"/>
          <w:sz w:val="24"/>
          <w:highlight w:val="none"/>
        </w:rPr>
        <w:t>或盖章</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法定代表人（签字</w:t>
      </w:r>
      <w:r>
        <w:rPr>
          <w:rFonts w:ascii="宋体" w:hAnsi="宋体" w:cs="宋体"/>
          <w:color w:val="auto"/>
          <w:sz w:val="24"/>
          <w:highlight w:val="none"/>
        </w:rPr>
        <w:t>或盖章</w:t>
      </w:r>
      <w:r>
        <w:rPr>
          <w:rFonts w:hint="eastAsia" w:ascii="宋体" w:hAnsi="宋体" w:cs="宋体"/>
          <w:color w:val="auto"/>
          <w:sz w:val="24"/>
          <w:highlight w:val="none"/>
        </w:rPr>
        <w:t xml:space="preserve">）：  </w:t>
      </w:r>
    </w:p>
    <w:p>
      <w:pPr>
        <w:pStyle w:val="3"/>
        <w:rPr>
          <w:rFonts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 xml:space="preserve">　　    年   月   日                          </w:t>
      </w:r>
      <w:r>
        <w:rPr>
          <w:rFonts w:ascii="宋体" w:hAnsi="宋体" w:cs="宋体"/>
          <w:b w:val="0"/>
          <w:bCs w:val="0"/>
          <w:color w:val="auto"/>
          <w:kern w:val="2"/>
          <w:sz w:val="24"/>
          <w:szCs w:val="24"/>
          <w:highlight w:val="none"/>
        </w:rPr>
        <w:t xml:space="preserve">          </w:t>
      </w:r>
      <w:r>
        <w:rPr>
          <w:rFonts w:hint="eastAsia" w:ascii="宋体" w:hAnsi="宋体" w:cs="宋体"/>
          <w:b w:val="0"/>
          <w:bCs w:val="0"/>
          <w:color w:val="auto"/>
          <w:kern w:val="2"/>
          <w:sz w:val="24"/>
          <w:szCs w:val="24"/>
          <w:highlight w:val="none"/>
        </w:rPr>
        <w:t>年   月   日</w:t>
      </w:r>
    </w:p>
    <w:bookmarkEnd w:id="576"/>
    <w:bookmarkEnd w:id="577"/>
    <w:bookmarkEnd w:id="578"/>
    <w:p>
      <w:pPr>
        <w:spacing w:after="0"/>
        <w:rPr>
          <w:color w:val="auto"/>
          <w:highlight w:val="none"/>
        </w:rPr>
        <w:sectPr>
          <w:pgSz w:w="11910" w:h="16840"/>
          <w:pgMar w:top="1480" w:right="600" w:bottom="1240" w:left="860" w:header="0" w:footer="979" w:gutter="0"/>
          <w:pgBorders>
            <w:top w:val="none" w:sz="0" w:space="0"/>
            <w:left w:val="none" w:sz="0" w:space="0"/>
            <w:bottom w:val="none" w:sz="0" w:space="0"/>
            <w:right w:val="none" w:sz="0" w:space="0"/>
          </w:pgBorders>
          <w:pgNumType w:fmt="decimal"/>
          <w:cols w:space="720" w:num="1"/>
        </w:sectPr>
      </w:pPr>
    </w:p>
    <w:p>
      <w:pPr>
        <w:pStyle w:val="3"/>
        <w:tabs>
          <w:tab w:val="left" w:pos="1259"/>
        </w:tabs>
        <w:spacing w:before="30"/>
        <w:ind w:right="257"/>
        <w:outlineLvl w:val="0"/>
        <w:rPr>
          <w:color w:val="auto"/>
          <w:highlight w:val="none"/>
        </w:rPr>
      </w:pPr>
      <w:bookmarkStart w:id="581" w:name="_Toc4292"/>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r>
        <w:rPr>
          <w:color w:val="auto"/>
          <w:highlight w:val="none"/>
        </w:rPr>
        <w:t>第五章</w:t>
      </w:r>
      <w:r>
        <w:rPr>
          <w:color w:val="auto"/>
          <w:highlight w:val="none"/>
        </w:rPr>
        <w:tab/>
      </w:r>
      <w:r>
        <w:rPr>
          <w:color w:val="auto"/>
          <w:highlight w:val="none"/>
        </w:rPr>
        <w:t>工程清单（另</w:t>
      </w:r>
      <w:r>
        <w:rPr>
          <w:color w:val="auto"/>
          <w:spacing w:val="-2"/>
          <w:highlight w:val="none"/>
        </w:rPr>
        <w:t xml:space="preserve"> </w:t>
      </w:r>
      <w:r>
        <w:rPr>
          <w:color w:val="auto"/>
          <w:highlight w:val="none"/>
        </w:rPr>
        <w:t>册）</w:t>
      </w:r>
      <w:bookmarkEnd w:id="581"/>
    </w:p>
    <w:p>
      <w:pPr>
        <w:pStyle w:val="14"/>
        <w:rPr>
          <w:b/>
          <w:color w:val="auto"/>
          <w:sz w:val="32"/>
          <w:highlight w:val="none"/>
        </w:rPr>
      </w:pPr>
    </w:p>
    <w:p>
      <w:pPr>
        <w:pStyle w:val="14"/>
        <w:rPr>
          <w:b/>
          <w:color w:val="auto"/>
          <w:sz w:val="42"/>
          <w:highlight w:val="none"/>
        </w:rPr>
      </w:pPr>
    </w:p>
    <w:p>
      <w:pPr>
        <w:pStyle w:val="3"/>
        <w:tabs>
          <w:tab w:val="left" w:pos="1259"/>
        </w:tabs>
        <w:spacing w:before="30"/>
        <w:ind w:right="257"/>
        <w:outlineLvl w:val="0"/>
        <w:rPr>
          <w:color w:val="auto"/>
          <w:highlight w:val="none"/>
        </w:rPr>
      </w:pPr>
      <w:bookmarkStart w:id="582" w:name="_Toc5999"/>
      <w:r>
        <w:rPr>
          <w:color w:val="auto"/>
          <w:highlight w:val="none"/>
        </w:rPr>
        <w:t>第六章</w:t>
      </w:r>
      <w:r>
        <w:rPr>
          <w:color w:val="auto"/>
          <w:highlight w:val="none"/>
        </w:rPr>
        <w:tab/>
      </w:r>
      <w:r>
        <w:rPr>
          <w:color w:val="auto"/>
          <w:highlight w:val="none"/>
        </w:rPr>
        <w:t xml:space="preserve">图 </w:t>
      </w:r>
      <w:r>
        <w:rPr>
          <w:color w:val="auto"/>
          <w:highlight w:val="none"/>
        </w:rPr>
        <w:t xml:space="preserve">纸（另 </w:t>
      </w:r>
      <w:r>
        <w:rPr>
          <w:color w:val="auto"/>
          <w:highlight w:val="none"/>
        </w:rPr>
        <w:t>册）</w:t>
      </w:r>
      <w:bookmarkEnd w:id="582"/>
    </w:p>
    <w:p>
      <w:pPr>
        <w:pStyle w:val="14"/>
        <w:rPr>
          <w:b/>
          <w:color w:val="auto"/>
          <w:sz w:val="32"/>
          <w:highlight w:val="none"/>
        </w:rPr>
      </w:pPr>
    </w:p>
    <w:p>
      <w:pPr>
        <w:pStyle w:val="14"/>
        <w:rPr>
          <w:b/>
          <w:color w:val="auto"/>
          <w:sz w:val="32"/>
          <w:highlight w:val="none"/>
        </w:rPr>
      </w:pPr>
    </w:p>
    <w:p>
      <w:pPr>
        <w:pStyle w:val="14"/>
        <w:rPr>
          <w:b/>
          <w:color w:val="auto"/>
          <w:sz w:val="32"/>
          <w:highlight w:val="none"/>
        </w:rPr>
      </w:pPr>
    </w:p>
    <w:p>
      <w:pPr>
        <w:pStyle w:val="14"/>
        <w:rPr>
          <w:b/>
          <w:color w:val="auto"/>
          <w:sz w:val="32"/>
          <w:highlight w:val="none"/>
        </w:rPr>
      </w:pPr>
    </w:p>
    <w:p>
      <w:pPr>
        <w:pStyle w:val="14"/>
        <w:spacing w:before="7"/>
        <w:rPr>
          <w:b/>
          <w:color w:val="auto"/>
          <w:sz w:val="26"/>
          <w:highlight w:val="none"/>
        </w:rPr>
      </w:pPr>
    </w:p>
    <w:p>
      <w:pPr>
        <w:spacing w:before="0"/>
        <w:ind w:left="0" w:right="257" w:firstLine="0"/>
        <w:jc w:val="center"/>
        <w:outlineLvl w:val="0"/>
        <w:rPr>
          <w:b/>
          <w:color w:val="auto"/>
          <w:sz w:val="32"/>
          <w:highlight w:val="none"/>
        </w:rPr>
      </w:pPr>
    </w:p>
    <w:p>
      <w:pPr>
        <w:spacing w:after="0"/>
        <w:jc w:val="center"/>
        <w:rPr>
          <w:color w:val="auto"/>
          <w:sz w:val="32"/>
          <w:highlight w:val="none"/>
        </w:rPr>
        <w:sectPr>
          <w:footerReference r:id="rId13" w:type="default"/>
          <w:pgSz w:w="11910" w:h="16840"/>
          <w:pgMar w:top="1500" w:right="600" w:bottom="1240" w:left="860" w:header="0" w:footer="1059" w:gutter="0"/>
          <w:pgBorders>
            <w:top w:val="none" w:sz="0" w:space="0"/>
            <w:left w:val="none" w:sz="0" w:space="0"/>
            <w:bottom w:val="none" w:sz="0" w:space="0"/>
            <w:right w:val="none" w:sz="0" w:space="0"/>
          </w:pgBorders>
          <w:pgNumType w:fmt="decimal"/>
          <w:cols w:space="720" w:num="1"/>
        </w:sectPr>
      </w:pPr>
    </w:p>
    <w:p>
      <w:pPr>
        <w:pStyle w:val="3"/>
        <w:tabs>
          <w:tab w:val="left" w:pos="1259"/>
        </w:tabs>
        <w:spacing w:before="30"/>
        <w:ind w:right="257"/>
        <w:outlineLvl w:val="0"/>
        <w:rPr>
          <w:color w:val="auto"/>
          <w:highlight w:val="none"/>
        </w:rPr>
      </w:pPr>
      <w:bookmarkStart w:id="583" w:name="_TOC_250000"/>
      <w:bookmarkEnd w:id="583"/>
      <w:bookmarkStart w:id="584" w:name="_Toc22273"/>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p>
    <w:p>
      <w:pPr>
        <w:pStyle w:val="3"/>
        <w:tabs>
          <w:tab w:val="left" w:pos="1259"/>
        </w:tabs>
        <w:spacing w:before="30"/>
        <w:ind w:right="257"/>
        <w:outlineLvl w:val="0"/>
        <w:rPr>
          <w:color w:val="auto"/>
          <w:highlight w:val="none"/>
        </w:rPr>
      </w:pPr>
      <w:r>
        <w:rPr>
          <w:color w:val="auto"/>
          <w:highlight w:val="none"/>
        </w:rPr>
        <w:t>第</w:t>
      </w:r>
      <w:r>
        <w:rPr>
          <w:rFonts w:hint="eastAsia"/>
          <w:color w:val="auto"/>
          <w:highlight w:val="none"/>
          <w:lang w:val="en-US" w:eastAsia="zh-CN"/>
        </w:rPr>
        <w:t>七</w:t>
      </w:r>
      <w:r>
        <w:rPr>
          <w:color w:val="auto"/>
          <w:highlight w:val="none"/>
        </w:rPr>
        <w:t>章</w:t>
      </w:r>
      <w:r>
        <w:rPr>
          <w:color w:val="auto"/>
          <w:highlight w:val="none"/>
        </w:rPr>
        <w:tab/>
      </w:r>
      <w:r>
        <w:rPr>
          <w:color w:val="auto"/>
          <w:highlight w:val="none"/>
        </w:rPr>
        <w:t>投标文件格式</w:t>
      </w:r>
      <w:bookmarkEnd w:id="584"/>
    </w:p>
    <w:p>
      <w:pPr>
        <w:spacing w:after="0"/>
        <w:rPr>
          <w:color w:val="auto"/>
          <w:highlight w:val="none"/>
        </w:rPr>
        <w:sectPr>
          <w:pgSz w:w="11910" w:h="16840"/>
          <w:pgMar w:top="1500" w:right="600" w:bottom="1240" w:left="860" w:header="0" w:footer="1059" w:gutter="0"/>
          <w:pgBorders>
            <w:top w:val="none" w:sz="0" w:space="0"/>
            <w:left w:val="none" w:sz="0" w:space="0"/>
            <w:bottom w:val="none" w:sz="0" w:space="0"/>
            <w:right w:val="none" w:sz="0" w:space="0"/>
          </w:pgBorders>
          <w:pgNumType w:fmt="decimal"/>
          <w:cols w:space="720" w:num="1"/>
        </w:sectPr>
      </w:pPr>
    </w:p>
    <w:p>
      <w:pPr>
        <w:pStyle w:val="14"/>
        <w:spacing w:before="9"/>
        <w:rPr>
          <w:b/>
          <w:color w:val="auto"/>
          <w:sz w:val="13"/>
          <w:highlight w:val="none"/>
        </w:rPr>
      </w:pPr>
    </w:p>
    <w:p>
      <w:pPr>
        <w:pStyle w:val="14"/>
        <w:ind w:left="6909"/>
        <w:rPr>
          <w:color w:val="auto"/>
          <w:sz w:val="20"/>
          <w:highlight w:val="none"/>
        </w:rPr>
      </w:pPr>
      <w:r>
        <w:rPr>
          <w:color w:val="auto"/>
          <w:sz w:val="20"/>
          <w:highlight w:val="none"/>
        </w:rPr>
        <mc:AlternateContent>
          <mc:Choice Requires="wpg">
            <w:drawing>
              <wp:inline distT="0" distB="0" distL="114300" distR="114300">
                <wp:extent cx="1468120" cy="393065"/>
                <wp:effectExtent l="0" t="0" r="17780" b="6985"/>
                <wp:docPr id="11" name="组合 19"/>
                <wp:cNvGraphicFramePr/>
                <a:graphic xmlns:a="http://schemas.openxmlformats.org/drawingml/2006/main">
                  <a:graphicData uri="http://schemas.microsoft.com/office/word/2010/wordprocessingGroup">
                    <wpg:wgp>
                      <wpg:cNvGrpSpPr/>
                      <wpg:grpSpPr>
                        <a:xfrm>
                          <a:off x="0" y="0"/>
                          <a:ext cx="1468120" cy="393065"/>
                          <a:chOff x="0" y="0"/>
                          <a:chExt cx="2312" cy="619"/>
                        </a:xfrm>
                      </wpg:grpSpPr>
                      <wps:wsp>
                        <wps:cNvPr id="9" name="任意多边形 20"/>
                        <wps:cNvSpPr/>
                        <wps:spPr>
                          <a:xfrm>
                            <a:off x="0" y="0"/>
                            <a:ext cx="2312" cy="619"/>
                          </a:xfrm>
                          <a:custGeom>
                            <a:avLst/>
                            <a:gdLst/>
                            <a:ahLst/>
                            <a:cxnLst/>
                            <a:pathLst>
                              <a:path w="2312" h="619">
                                <a:moveTo>
                                  <a:pt x="2312" y="619"/>
                                </a:moveTo>
                                <a:lnTo>
                                  <a:pt x="0" y="619"/>
                                </a:lnTo>
                                <a:lnTo>
                                  <a:pt x="0" y="0"/>
                                </a:lnTo>
                                <a:lnTo>
                                  <a:pt x="2312" y="0"/>
                                </a:lnTo>
                                <a:lnTo>
                                  <a:pt x="2312" y="6"/>
                                </a:lnTo>
                                <a:lnTo>
                                  <a:pt x="12" y="6"/>
                                </a:lnTo>
                                <a:lnTo>
                                  <a:pt x="6" y="12"/>
                                </a:lnTo>
                                <a:lnTo>
                                  <a:pt x="12" y="12"/>
                                </a:lnTo>
                                <a:lnTo>
                                  <a:pt x="12" y="607"/>
                                </a:lnTo>
                                <a:lnTo>
                                  <a:pt x="6" y="607"/>
                                </a:lnTo>
                                <a:lnTo>
                                  <a:pt x="12" y="613"/>
                                </a:lnTo>
                                <a:lnTo>
                                  <a:pt x="2312" y="613"/>
                                </a:lnTo>
                                <a:lnTo>
                                  <a:pt x="2312" y="619"/>
                                </a:lnTo>
                                <a:close/>
                                <a:moveTo>
                                  <a:pt x="12" y="12"/>
                                </a:moveTo>
                                <a:lnTo>
                                  <a:pt x="6" y="12"/>
                                </a:lnTo>
                                <a:lnTo>
                                  <a:pt x="12" y="6"/>
                                </a:lnTo>
                                <a:lnTo>
                                  <a:pt x="12" y="12"/>
                                </a:lnTo>
                                <a:close/>
                                <a:moveTo>
                                  <a:pt x="2300" y="12"/>
                                </a:moveTo>
                                <a:lnTo>
                                  <a:pt x="12" y="12"/>
                                </a:lnTo>
                                <a:lnTo>
                                  <a:pt x="12" y="6"/>
                                </a:lnTo>
                                <a:lnTo>
                                  <a:pt x="2300" y="6"/>
                                </a:lnTo>
                                <a:lnTo>
                                  <a:pt x="2300" y="12"/>
                                </a:lnTo>
                                <a:close/>
                                <a:moveTo>
                                  <a:pt x="2300" y="613"/>
                                </a:moveTo>
                                <a:lnTo>
                                  <a:pt x="2300" y="6"/>
                                </a:lnTo>
                                <a:lnTo>
                                  <a:pt x="2306" y="12"/>
                                </a:lnTo>
                                <a:lnTo>
                                  <a:pt x="2312" y="12"/>
                                </a:lnTo>
                                <a:lnTo>
                                  <a:pt x="2312" y="607"/>
                                </a:lnTo>
                                <a:lnTo>
                                  <a:pt x="2306" y="607"/>
                                </a:lnTo>
                                <a:lnTo>
                                  <a:pt x="2300" y="613"/>
                                </a:lnTo>
                                <a:close/>
                                <a:moveTo>
                                  <a:pt x="2312" y="12"/>
                                </a:moveTo>
                                <a:lnTo>
                                  <a:pt x="2306" y="12"/>
                                </a:lnTo>
                                <a:lnTo>
                                  <a:pt x="2300" y="6"/>
                                </a:lnTo>
                                <a:lnTo>
                                  <a:pt x="2312" y="6"/>
                                </a:lnTo>
                                <a:lnTo>
                                  <a:pt x="2312" y="12"/>
                                </a:lnTo>
                                <a:close/>
                                <a:moveTo>
                                  <a:pt x="12" y="613"/>
                                </a:moveTo>
                                <a:lnTo>
                                  <a:pt x="6" y="607"/>
                                </a:lnTo>
                                <a:lnTo>
                                  <a:pt x="12" y="607"/>
                                </a:lnTo>
                                <a:lnTo>
                                  <a:pt x="12" y="613"/>
                                </a:lnTo>
                                <a:close/>
                                <a:moveTo>
                                  <a:pt x="2300" y="613"/>
                                </a:moveTo>
                                <a:lnTo>
                                  <a:pt x="12" y="613"/>
                                </a:lnTo>
                                <a:lnTo>
                                  <a:pt x="12" y="607"/>
                                </a:lnTo>
                                <a:lnTo>
                                  <a:pt x="2300" y="607"/>
                                </a:lnTo>
                                <a:lnTo>
                                  <a:pt x="2300" y="613"/>
                                </a:lnTo>
                                <a:close/>
                                <a:moveTo>
                                  <a:pt x="2312" y="613"/>
                                </a:moveTo>
                                <a:lnTo>
                                  <a:pt x="2300" y="613"/>
                                </a:lnTo>
                                <a:lnTo>
                                  <a:pt x="2306" y="607"/>
                                </a:lnTo>
                                <a:lnTo>
                                  <a:pt x="2312" y="607"/>
                                </a:lnTo>
                                <a:lnTo>
                                  <a:pt x="2312" y="613"/>
                                </a:lnTo>
                                <a:close/>
                              </a:path>
                            </a:pathLst>
                          </a:custGeom>
                          <a:solidFill>
                            <a:srgbClr val="000000"/>
                          </a:solidFill>
                          <a:ln>
                            <a:noFill/>
                          </a:ln>
                        </wps:spPr>
                        <wps:bodyPr upright="1"/>
                      </wps:wsp>
                      <wps:wsp>
                        <wps:cNvPr id="10" name="文本框 21"/>
                        <wps:cNvSpPr txBox="1"/>
                        <wps:spPr>
                          <a:xfrm>
                            <a:off x="0" y="0"/>
                            <a:ext cx="2312" cy="619"/>
                          </a:xfrm>
                          <a:prstGeom prst="rect">
                            <a:avLst/>
                          </a:prstGeom>
                          <a:noFill/>
                          <a:ln>
                            <a:noFill/>
                          </a:ln>
                        </wps:spPr>
                        <wps:txbx>
                          <w:txbxContent>
                            <w:p>
                              <w:pPr>
                                <w:spacing w:before="92"/>
                                <w:ind w:left="249" w:right="0" w:firstLine="0"/>
                                <w:jc w:val="left"/>
                                <w:rPr>
                                  <w:b/>
                                  <w:sz w:val="36"/>
                                </w:rPr>
                              </w:pPr>
                              <w:r>
                                <w:rPr>
                                  <w:b/>
                                  <w:sz w:val="36"/>
                                </w:rPr>
                                <w:t>正本或副本</w:t>
                              </w:r>
                            </w:p>
                          </w:txbxContent>
                        </wps:txbx>
                        <wps:bodyPr lIns="0" tIns="0" rIns="0" bIns="0" upright="1"/>
                      </wps:wsp>
                    </wpg:wgp>
                  </a:graphicData>
                </a:graphic>
              </wp:inline>
            </w:drawing>
          </mc:Choice>
          <mc:Fallback>
            <w:pict>
              <v:group id="组合 19" o:spid="_x0000_s1026" o:spt="203" style="height:30.95pt;width:115.6pt;" coordsize="2312,619" o:gfxdata="UEsDBAoAAAAAAIdO4kAAAAAAAAAAAAAAAAAEAAAAZHJzL1BLAwQUAAAACACHTuJANeUU69UAAAAE&#10;AQAADwAAAGRycy9kb3ducmV2LnhtbE2PQWvCQBCF74X+h2UKvdXNRio2zUZEbE9SqAqltzE7JsHs&#10;bMiuif77bnupl4HHe7z3Tb642FYM1PvGsQY1SUAQl840XGnY796e5iB8QDbYOiYNV/KwKO7vcsyM&#10;G/mThm2oRCxhn6GGOoQuk9KXNVn0E9cRR+/oeoshyr6SpscxlttWpkkykxYbjgs1drSqqTxtz1bD&#10;+4jjcqrWw+Z0XF2/d88fXxtFWj8+qOQVRKBL+A/DL35EhyIyHdyZjRethvhI+LvRS6cqBXHQMFMv&#10;IItc3sIXP1BLAwQUAAAACACHTuJAdWyYUrMDAAA7DgAADgAAAGRycy9lMm9Eb2MueG1svVfNjuQ0&#10;EL4j8Q5W7kw63dDstKZnJRh2hIRgpV0ewO04P1ISW7b7Z+4r4AYnDogLqz3yAmgET8PM7mNslR0n&#10;051NtxcQfeg49peqr74qx5WLx7u6IhuudCmaZZScTSLCGybSssmX0bfPn3z0KCLa0CallWj4Mrrh&#10;Onp8+eEHF1u54FNRiCrlioCRRi+2chkVxshFHGtW8JrqMyF5A4uZUDU1cKvyOFV0C9brKp5OJvN4&#10;K1QqlWBca5i9cotRa1GFGBRZVjJ+Jdi65o1xVhWvqIGQdFFKHV1atlnGmfkmyzQ3pFpGEKmx/+AE&#10;xiv8jy8v6CJXVBYlaynQEAoHMdW0bMBpZ+qKGkrWqhyYqkumhBaZOWOijl0gVhGIIpkcaHOtxFra&#10;WPLFNped6JCoA9X/sVn29eapImUKlZBEpKE1ZPz17Yu7n34gyTmqs5X5AkDXSj6TT1U7kbs7DHiX&#10;qRqvEArZWV1vOl35zhAGk8nH80fJFCRnsDY7n03mnzjhWQHZGTzGii/aB6ezZOqemjs2sXcYI6+O&#10;xlZCLepeIP3vBHpWUMmt7hpjbwU69/r8fXt7/+LHu1e/vPnrj7s/XxKIzOpiwZ1KeqFBsFCJxiOl&#10;C7bW5poLKzPdfKWNK9rUj2jhR2zX+KGkBqfRPw7Jdhk5H8UyQjFxoRYb/lxYiMEsOADkqFe7h1TN&#10;Qygkcw/nV/1VWoMOZeWBzPk1f3WYzmkgbI5ij1rDekFiR0FziwFogKUw1Hzy6VFjzuMplCefzI4a&#10;6xSbhwPtXn6gGquE5raO+gy7fLQkurj79f28vY+Ix9Nx6NH7Gec4nU1caZ1kOWbb+9iL+TjNzmkg&#10;rOPmfQXE02d0TPZwFkEJ6mppwNazPtilp2oY+IUVex/IoIqPCXWY0CM6BQrQltKprLaOA2EDOcdj&#10;8oY7GcZCCtPVmzvxRvKwzqvP9zjRd2RsjOqode9lf9+d4No7Dga+V1gDtmNh9UQG9vcDA2BYtrr9&#10;d3pfDVh6lz5j8HrHo96ejt3xD5MP+wctqjJ9UlYVnvpa5avPK0U2FLtj+2sPnj1Y1SC4EfiYPzHB&#10;CTZdrsXB0UqkN9AoraUq8wLa7MRawhVozLCN/B86tAQOBdfC3v/8/f2vv9//9h2ZWiLoHjo5bM6I&#10;2X0msClFgjj/X7VpUrk2jeBgGSn49rBdlm/ZMD0tZE9PbIz2JuwxPRDY7Fa7lnGrdfVlA40uxGz8&#10;QPnByg/G8mH7Z/imsMXSfv/gR8vDe0uh/+a7f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BgAAW0NvbnRlbnRfVHlwZXNdLnhtbFBLAQIUAAoA&#10;AAAAAIdO4kAAAAAAAAAAAAAAAAAGAAAAAAAAAAAAEAAAAAMFAABfcmVscy9QSwECFAAUAAAACACH&#10;TuJAihRmPNEAAACUAQAACwAAAAAAAAABACAAAAAnBQAAX3JlbHMvLnJlbHNQSwECFAAKAAAAAACH&#10;TuJAAAAAAAAAAAAAAAAABAAAAAAAAAAAABAAAAAAAAAAZHJzL1BLAQIUABQAAAAIAIdO4kA15RTr&#10;1QAAAAQBAAAPAAAAAAAAAAEAIAAAACIAAABkcnMvZG93bnJldi54bWxQSwECFAAUAAAACACHTuJA&#10;dWyYUrMDAAA7DgAADgAAAAAAAAABACAAAAAkAQAAZHJzL2Uyb0RvYy54bWxQSwUGAAAAAAYABgBZ&#10;AQAASQcAAAAA&#10;">
                <o:lock v:ext="edit" aspectratio="f"/>
                <v:shape id="任意多边形 20" o:spid="_x0000_s1026" o:spt="100" style="position:absolute;left:0;top:0;height:619;width:2312;" fillcolor="#000000" filled="t" stroked="f" coordsize="2312,619" o:gfxdata="UEsDBAoAAAAAAIdO4kAAAAAAAAAAAAAAAAAEAAAAZHJzL1BLAwQUAAAACACHTuJANM3zmL0AAADa&#10;AAAADwAAAGRycy9kb3ducmV2LnhtbEWPQWvCQBSE70L/w/IKvYhuIio1ukopCLmoaL14e2Sf2dDs&#10;25DdauqvdwXB4zAz3zCLVWdrcaHWV44VpMMEBHHhdMWlguPPevAJwgdkjbVjUvBPHlbLt94CM+2u&#10;vKfLIZQiQthnqMCE0GRS+sKQRT90DXH0zq61GKJsS6lbvEa4reUoSabSYsVxwWBD34aK38OfVUDr&#10;Xf90muxH6e1r4495bsbbfqfUx3uazEEE6sIr/GznWsEMHlfiDZ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zfOYvQAA&#10;ANoAAAAPAAAAAAAAAAEAIAAAACIAAABkcnMvZG93bnJldi54bWxQSwECFAAUAAAACACHTuJAMy8F&#10;njsAAAA5AAAAEAAAAAAAAAABACAAAAAMAQAAZHJzL3NoYXBleG1sLnhtbFBLBQYAAAAABgAGAFsB&#10;AAC2AwAAAAA=&#10;" path="m2312,619l0,619,0,0,2312,0,2312,6,12,6,6,12,12,12,12,607,6,607,12,613,2312,613,2312,619xm12,12l6,12,12,6,12,12xm2300,12l12,12,12,6,2300,6,2300,12xm2300,613l2300,6,2306,12,2312,12,2312,607,2306,607,2300,613xm2312,12l2306,12,2300,6,2312,6,2312,12xm12,613l6,607,12,607,12,613xm2300,613l12,613,12,607,2300,607,2300,613xm2312,613l2300,613,2306,607,2312,607,2312,613xe">
                  <v:fill on="t" focussize="0,0"/>
                  <v:stroke on="f"/>
                  <v:imagedata o:title=""/>
                  <o:lock v:ext="edit" aspectratio="f"/>
                </v:shape>
                <v:shape id="文本框 21" o:spid="_x0000_s1026" o:spt="202" type="#_x0000_t202" style="position:absolute;left:0;top:0;height:619;width:2312;"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92"/>
                          <w:ind w:left="249" w:right="0" w:firstLine="0"/>
                          <w:jc w:val="left"/>
                          <w:rPr>
                            <w:b/>
                            <w:sz w:val="36"/>
                          </w:rPr>
                        </w:pPr>
                        <w:r>
                          <w:rPr>
                            <w:b/>
                            <w:sz w:val="36"/>
                          </w:rPr>
                          <w:t>正本或副本</w:t>
                        </w:r>
                      </w:p>
                    </w:txbxContent>
                  </v:textbox>
                </v:shape>
                <w10:wrap type="none"/>
                <w10:anchorlock/>
              </v:group>
            </w:pict>
          </mc:Fallback>
        </mc:AlternateContent>
      </w:r>
    </w:p>
    <w:p>
      <w:pPr>
        <w:pStyle w:val="14"/>
        <w:rPr>
          <w:b/>
          <w:color w:val="auto"/>
          <w:sz w:val="20"/>
          <w:highlight w:val="none"/>
        </w:rPr>
      </w:pPr>
    </w:p>
    <w:p>
      <w:pPr>
        <w:pStyle w:val="14"/>
        <w:rPr>
          <w:b/>
          <w:color w:val="auto"/>
          <w:sz w:val="20"/>
          <w:highlight w:val="none"/>
        </w:rPr>
      </w:pPr>
    </w:p>
    <w:p>
      <w:pPr>
        <w:pStyle w:val="14"/>
        <w:spacing w:before="8"/>
        <w:rPr>
          <w:b/>
          <w:color w:val="auto"/>
          <w:sz w:val="18"/>
          <w:highlight w:val="none"/>
        </w:rPr>
      </w:pPr>
    </w:p>
    <w:p>
      <w:pPr>
        <w:spacing w:before="28"/>
        <w:ind w:left="0" w:leftChars="0" w:right="0" w:hanging="16" w:firstLineChars="0"/>
        <w:jc w:val="center"/>
        <w:outlineLvl w:val="0"/>
        <w:rPr>
          <w:rFonts w:hint="eastAsia" w:eastAsia="宋体"/>
          <w:b/>
          <w:color w:val="auto"/>
          <w:sz w:val="44"/>
          <w:szCs w:val="44"/>
          <w:highlight w:val="none"/>
          <w:lang w:eastAsia="zh-CN"/>
        </w:rPr>
      </w:pPr>
      <w:r>
        <w:rPr>
          <w:rFonts w:hint="eastAsia"/>
          <w:b/>
          <w:color w:val="auto"/>
          <w:sz w:val="52"/>
          <w:szCs w:val="52"/>
          <w:highlight w:val="none"/>
          <w:lang w:eastAsia="zh-CN"/>
        </w:rPr>
        <w:t>云安区生猪产业园—优质生猪标准化规模养殖基地项目</w:t>
      </w:r>
    </w:p>
    <w:p>
      <w:pPr>
        <w:pStyle w:val="14"/>
        <w:spacing w:before="1"/>
        <w:rPr>
          <w:b/>
          <w:color w:val="auto"/>
          <w:sz w:val="60"/>
          <w:highlight w:val="none"/>
        </w:rPr>
      </w:pPr>
    </w:p>
    <w:p>
      <w:pPr>
        <w:pStyle w:val="14"/>
        <w:spacing w:before="1"/>
        <w:rPr>
          <w:b/>
          <w:color w:val="auto"/>
          <w:sz w:val="60"/>
          <w:highlight w:val="none"/>
        </w:rPr>
      </w:pPr>
    </w:p>
    <w:p>
      <w:pPr>
        <w:pStyle w:val="14"/>
        <w:spacing w:before="1"/>
        <w:rPr>
          <w:b/>
          <w:color w:val="auto"/>
          <w:sz w:val="60"/>
          <w:highlight w:val="none"/>
        </w:rPr>
      </w:pPr>
    </w:p>
    <w:p>
      <w:pPr>
        <w:spacing w:before="0"/>
        <w:ind w:left="0" w:right="58" w:firstLine="0"/>
        <w:jc w:val="center"/>
        <w:rPr>
          <w:color w:val="auto"/>
          <w:spacing w:val="55"/>
          <w:sz w:val="96"/>
          <w:highlight w:val="none"/>
        </w:rPr>
      </w:pPr>
      <w:r>
        <w:rPr>
          <w:rFonts w:hint="eastAsia"/>
          <w:color w:val="auto"/>
          <w:spacing w:val="55"/>
          <w:sz w:val="96"/>
          <w:highlight w:val="none"/>
          <w:lang w:val="en-US" w:eastAsia="zh-CN"/>
        </w:rPr>
        <w:t>施工</w:t>
      </w:r>
      <w:r>
        <w:rPr>
          <w:color w:val="auto"/>
          <w:spacing w:val="55"/>
          <w:sz w:val="96"/>
          <w:highlight w:val="none"/>
        </w:rPr>
        <w:t>投标文件</w:t>
      </w:r>
    </w:p>
    <w:p>
      <w:pPr>
        <w:pStyle w:val="12"/>
        <w:ind w:left="0" w:leftChars="0" w:firstLine="0" w:firstLineChars="0"/>
        <w:jc w:val="center"/>
        <w:rPr>
          <w:rFonts w:hint="default" w:eastAsia="宋体"/>
          <w:lang w:val="en-US" w:eastAsia="zh-CN"/>
        </w:rPr>
      </w:pPr>
      <w:r>
        <w:rPr>
          <w:rFonts w:hint="eastAsia"/>
          <w:color w:val="auto"/>
          <w:spacing w:val="55"/>
          <w:sz w:val="48"/>
          <w:szCs w:val="48"/>
          <w:highlight w:val="none"/>
          <w:lang w:val="en-US" w:eastAsia="zh-CN"/>
        </w:rPr>
        <w:t>商务文件</w:t>
      </w:r>
    </w:p>
    <w:p>
      <w:pPr>
        <w:pStyle w:val="14"/>
        <w:rPr>
          <w:color w:val="auto"/>
          <w:sz w:val="96"/>
          <w:highlight w:val="none"/>
        </w:rPr>
      </w:pPr>
    </w:p>
    <w:p>
      <w:pPr>
        <w:pStyle w:val="14"/>
        <w:rPr>
          <w:color w:val="auto"/>
          <w:sz w:val="96"/>
          <w:highlight w:val="none"/>
        </w:rPr>
      </w:pPr>
    </w:p>
    <w:p>
      <w:pPr>
        <w:pStyle w:val="14"/>
        <w:spacing w:before="11"/>
        <w:rPr>
          <w:color w:val="auto"/>
          <w:sz w:val="127"/>
          <w:highlight w:val="none"/>
        </w:rPr>
      </w:pPr>
    </w:p>
    <w:p>
      <w:pPr>
        <w:pStyle w:val="7"/>
        <w:tabs>
          <w:tab w:val="left" w:pos="2180"/>
          <w:tab w:val="left" w:pos="2742"/>
          <w:tab w:val="left" w:pos="6939"/>
        </w:tabs>
        <w:rPr>
          <w:color w:val="auto"/>
          <w:highlight w:val="none"/>
        </w:rPr>
      </w:pPr>
      <w:r>
        <w:rPr>
          <w:color w:val="auto"/>
          <w:highlight w:val="none"/>
        </w:rPr>
        <w:t>投</w:t>
      </w:r>
      <w:r>
        <w:rPr>
          <w:color w:val="auto"/>
          <w:highlight w:val="none"/>
        </w:rPr>
        <w:tab/>
      </w:r>
      <w:r>
        <w:rPr>
          <w:color w:val="auto"/>
          <w:highlight w:val="none"/>
        </w:rPr>
        <w:t>标</w:t>
      </w:r>
      <w:r>
        <w:rPr>
          <w:color w:val="auto"/>
          <w:highlight w:val="none"/>
        </w:rPr>
        <w:tab/>
      </w:r>
      <w:r>
        <w:rPr>
          <w:color w:val="auto"/>
          <w:highlight w:val="none"/>
        </w:rPr>
        <w:t>人：</w:t>
      </w:r>
      <w:r>
        <w:rPr>
          <w:color w:val="auto"/>
          <w:highlight w:val="none"/>
          <w:u w:val="single"/>
        </w:rPr>
        <w:t xml:space="preserve"> </w:t>
      </w:r>
      <w:r>
        <w:rPr>
          <w:color w:val="auto"/>
          <w:highlight w:val="none"/>
          <w:u w:val="single"/>
        </w:rPr>
        <w:tab/>
      </w:r>
      <w:r>
        <w:rPr>
          <w:color w:val="auto"/>
          <w:highlight w:val="none"/>
        </w:rPr>
        <w:t>（盖章）</w:t>
      </w:r>
    </w:p>
    <w:p>
      <w:pPr>
        <w:pStyle w:val="14"/>
        <w:spacing w:before="10"/>
        <w:rPr>
          <w:b/>
          <w:color w:val="auto"/>
          <w:sz w:val="36"/>
          <w:highlight w:val="none"/>
        </w:rPr>
      </w:pPr>
    </w:p>
    <w:p>
      <w:pPr>
        <w:pStyle w:val="7"/>
        <w:tabs>
          <w:tab w:val="left" w:pos="2139"/>
          <w:tab w:val="left" w:pos="2701"/>
          <w:tab w:val="left" w:pos="5259"/>
          <w:tab w:val="left" w:pos="6939"/>
        </w:tabs>
        <w:spacing w:line="556" w:lineRule="auto"/>
        <w:ind w:right="1535"/>
        <w:rPr>
          <w:color w:val="auto"/>
          <w:highlight w:val="none"/>
        </w:rPr>
      </w:pPr>
      <w:r>
        <w:rPr>
          <w:color w:val="auto"/>
          <w:highlight w:val="none"/>
        </w:rPr>
        <w:t>法定代表人或其委</w:t>
      </w:r>
      <w:r>
        <w:rPr>
          <w:rFonts w:hint="eastAsia"/>
          <w:color w:val="auto"/>
          <w:highlight w:val="none"/>
          <w:lang w:eastAsia="zh-CN"/>
        </w:rPr>
        <w:t>托</w:t>
      </w:r>
      <w:r>
        <w:rPr>
          <w:color w:val="auto"/>
          <w:highlight w:val="none"/>
        </w:rPr>
        <w:t>代理人：</w:t>
      </w:r>
      <w:r>
        <w:rPr>
          <w:color w:val="auto"/>
          <w:highlight w:val="none"/>
          <w:u w:val="single"/>
        </w:rPr>
        <w:t xml:space="preserve"> </w:t>
      </w:r>
      <w:r>
        <w:rPr>
          <w:color w:val="auto"/>
          <w:highlight w:val="none"/>
          <w:u w:val="single"/>
        </w:rPr>
        <w:tab/>
      </w:r>
      <w:r>
        <w:rPr>
          <w:color w:val="auto"/>
          <w:highlight w:val="none"/>
        </w:rPr>
        <w:t>（签字或盖章）</w:t>
      </w:r>
      <w:r>
        <w:rPr>
          <w:color w:val="auto"/>
          <w:spacing w:val="-12"/>
          <w:highlight w:val="none"/>
        </w:rPr>
        <w:t xml:space="preserve"> </w:t>
      </w:r>
    </w:p>
    <w:p>
      <w:pPr>
        <w:pStyle w:val="7"/>
        <w:tabs>
          <w:tab w:val="left" w:pos="2739"/>
          <w:tab w:val="left" w:pos="3719"/>
          <w:tab w:val="left" w:pos="4559"/>
          <w:tab w:val="left" w:pos="5259"/>
        </w:tabs>
        <w:spacing w:line="357" w:lineRule="exact"/>
        <w:rPr>
          <w:color w:val="auto"/>
          <w:highlight w:val="none"/>
        </w:rPr>
      </w:pPr>
      <w:r>
        <w:rPr>
          <w:color w:val="auto"/>
          <w:highlight w:val="none"/>
        </w:rPr>
        <w:t>日</w:t>
      </w:r>
      <w:r>
        <w:rPr>
          <w:color w:val="auto"/>
          <w:highlight w:val="none"/>
        </w:rPr>
        <w:tab/>
      </w:r>
      <w:r>
        <w:rPr>
          <w:color w:val="auto"/>
          <w:highlight w:val="none"/>
        </w:rPr>
        <w:t>期：</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pPr>
        <w:spacing w:after="0" w:line="357" w:lineRule="exact"/>
        <w:rPr>
          <w:color w:val="auto"/>
          <w:highlight w:val="none"/>
        </w:rPr>
        <w:sectPr>
          <w:pgSz w:w="11910" w:h="16840"/>
          <w:pgMar w:top="1580" w:right="600" w:bottom="1240" w:left="860" w:header="0" w:footer="1059" w:gutter="0"/>
          <w:pgBorders>
            <w:top w:val="none" w:sz="0" w:space="0"/>
            <w:left w:val="none" w:sz="0" w:space="0"/>
            <w:bottom w:val="none" w:sz="0" w:space="0"/>
            <w:right w:val="none" w:sz="0" w:space="0"/>
          </w:pgBorders>
          <w:pgNumType w:fmt="decimal"/>
          <w:cols w:space="720" w:num="1"/>
        </w:sectPr>
      </w:pPr>
    </w:p>
    <w:p>
      <w:pPr>
        <w:pStyle w:val="14"/>
        <w:rPr>
          <w:b/>
          <w:color w:val="auto"/>
          <w:sz w:val="20"/>
          <w:highlight w:val="none"/>
        </w:rPr>
      </w:pPr>
    </w:p>
    <w:p>
      <w:pPr>
        <w:pStyle w:val="14"/>
        <w:spacing w:before="1"/>
        <w:rPr>
          <w:b/>
          <w:color w:val="auto"/>
          <w:highlight w:val="none"/>
        </w:rPr>
      </w:pPr>
    </w:p>
    <w:p>
      <w:pPr>
        <w:spacing w:before="28"/>
        <w:ind w:left="0" w:right="388" w:firstLine="0"/>
        <w:jc w:val="center"/>
        <w:outlineLvl w:val="0"/>
        <w:rPr>
          <w:b/>
          <w:color w:val="auto"/>
          <w:sz w:val="52"/>
          <w:highlight w:val="none"/>
        </w:rPr>
      </w:pPr>
      <w:bookmarkStart w:id="585" w:name="_Toc21681"/>
      <w:r>
        <w:rPr>
          <w:b/>
          <w:color w:val="auto"/>
          <w:sz w:val="52"/>
          <w:highlight w:val="none"/>
        </w:rPr>
        <w:t>目 录</w:t>
      </w:r>
      <w:bookmarkEnd w:id="585"/>
    </w:p>
    <w:p>
      <w:pPr>
        <w:pStyle w:val="14"/>
        <w:rPr>
          <w:b/>
          <w:color w:val="auto"/>
          <w:sz w:val="52"/>
          <w:highlight w:val="none"/>
        </w:rPr>
      </w:pPr>
    </w:p>
    <w:p>
      <w:pPr>
        <w:pStyle w:val="14"/>
        <w:spacing w:before="2"/>
        <w:rPr>
          <w:b/>
          <w:color w:val="auto"/>
          <w:sz w:val="50"/>
          <w:highlight w:val="none"/>
        </w:rPr>
      </w:pP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bookmarkStart w:id="586" w:name="_Toc10861"/>
      <w:r>
        <w:rPr>
          <w:rFonts w:hint="eastAsia"/>
          <w:color w:val="000000"/>
          <w:sz w:val="28"/>
          <w:szCs w:val="28"/>
        </w:rPr>
        <w:t xml:space="preserve">一、投标函（见格式） </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r>
        <w:rPr>
          <w:rFonts w:hint="eastAsia"/>
          <w:color w:val="000000"/>
          <w:sz w:val="28"/>
          <w:szCs w:val="28"/>
        </w:rPr>
        <w:t>二、投标函附录</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r>
        <w:rPr>
          <w:rFonts w:hint="eastAsia"/>
          <w:color w:val="000000"/>
          <w:sz w:val="28"/>
          <w:szCs w:val="28"/>
        </w:rPr>
        <w:t xml:space="preserve">三、法定代表人身份证明 </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r>
        <w:rPr>
          <w:rFonts w:hint="eastAsia"/>
          <w:color w:val="000000"/>
          <w:sz w:val="28"/>
          <w:szCs w:val="28"/>
        </w:rPr>
        <w:t>四、授权委托书</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eastAsia="宋体"/>
          <w:color w:val="000000"/>
          <w:sz w:val="28"/>
          <w:szCs w:val="28"/>
          <w:lang w:eastAsia="zh-CN"/>
        </w:rPr>
      </w:pPr>
      <w:r>
        <w:rPr>
          <w:rFonts w:hint="eastAsia"/>
          <w:color w:val="000000"/>
          <w:sz w:val="28"/>
          <w:szCs w:val="28"/>
          <w:lang w:eastAsia="zh-CN"/>
        </w:rPr>
        <w:t>五、投标人声明</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pacing w:val="-2"/>
          <w:sz w:val="28"/>
          <w:szCs w:val="28"/>
          <w:lang w:eastAsia="zh-CN"/>
        </w:rPr>
      </w:pPr>
      <w:r>
        <w:rPr>
          <w:rFonts w:hint="eastAsia"/>
          <w:color w:val="000000"/>
          <w:spacing w:val="-2"/>
          <w:sz w:val="28"/>
          <w:szCs w:val="28"/>
          <w:lang w:val="en-US" w:eastAsia="zh-CN"/>
        </w:rPr>
        <w:t>六</w:t>
      </w:r>
      <w:r>
        <w:rPr>
          <w:rFonts w:hint="eastAsia"/>
          <w:color w:val="000000"/>
          <w:spacing w:val="-2"/>
          <w:sz w:val="28"/>
          <w:szCs w:val="28"/>
          <w:lang w:eastAsia="zh-CN"/>
        </w:rPr>
        <w:t>、承诺书</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r>
        <w:rPr>
          <w:rFonts w:hint="eastAsia"/>
          <w:color w:val="000000"/>
          <w:sz w:val="28"/>
          <w:szCs w:val="28"/>
          <w:lang w:val="en-US" w:eastAsia="zh-CN"/>
        </w:rPr>
        <w:t>七</w:t>
      </w:r>
      <w:r>
        <w:rPr>
          <w:rFonts w:hint="eastAsia"/>
          <w:color w:val="000000"/>
          <w:spacing w:val="-2"/>
          <w:sz w:val="28"/>
          <w:szCs w:val="28"/>
          <w:lang w:eastAsia="zh-CN"/>
        </w:rPr>
        <w:t>、</w:t>
      </w:r>
      <w:r>
        <w:rPr>
          <w:rFonts w:hint="eastAsia"/>
          <w:color w:val="000000"/>
          <w:spacing w:val="-2"/>
          <w:sz w:val="28"/>
          <w:szCs w:val="28"/>
        </w:rPr>
        <w:t>投标保证金</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r>
        <w:rPr>
          <w:rFonts w:hint="eastAsia"/>
          <w:color w:val="000000"/>
          <w:sz w:val="28"/>
          <w:szCs w:val="28"/>
          <w:lang w:val="en-US" w:eastAsia="zh-CN"/>
        </w:rPr>
        <w:t>八</w:t>
      </w:r>
      <w:r>
        <w:rPr>
          <w:rFonts w:hint="eastAsia"/>
          <w:color w:val="000000"/>
          <w:sz w:val="28"/>
          <w:szCs w:val="28"/>
        </w:rPr>
        <w:t>、资信与业绩资料</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r>
        <w:rPr>
          <w:rFonts w:hint="eastAsia"/>
          <w:color w:val="000000"/>
          <w:sz w:val="28"/>
          <w:szCs w:val="28"/>
          <w:lang w:val="en-US" w:eastAsia="zh-CN"/>
        </w:rPr>
        <w:t>九</w:t>
      </w:r>
      <w:r>
        <w:rPr>
          <w:rFonts w:hint="eastAsia"/>
          <w:color w:val="000000"/>
          <w:sz w:val="28"/>
          <w:szCs w:val="28"/>
        </w:rPr>
        <w:t>、拟投入本工程项目班子人员简介</w:t>
      </w:r>
    </w:p>
    <w:p>
      <w:pPr>
        <w:pStyle w:val="14"/>
        <w:keepNext w:val="0"/>
        <w:keepLines w:val="0"/>
        <w:pageBreakBefore w:val="0"/>
        <w:widowControl/>
        <w:kinsoku/>
        <w:wordWrap/>
        <w:overflowPunct/>
        <w:topLinePunct w:val="0"/>
        <w:autoSpaceDE/>
        <w:autoSpaceDN/>
        <w:bidi w:val="0"/>
        <w:adjustRightInd/>
        <w:snapToGrid/>
        <w:spacing w:line="360" w:lineRule="auto"/>
        <w:ind w:right="880" w:rightChars="400"/>
        <w:jc w:val="both"/>
        <w:textAlignment w:val="auto"/>
        <w:rPr>
          <w:rFonts w:hint="eastAsia"/>
          <w:color w:val="000000"/>
          <w:sz w:val="28"/>
          <w:szCs w:val="28"/>
        </w:rPr>
      </w:pPr>
      <w:r>
        <w:rPr>
          <w:rFonts w:hint="eastAsia"/>
          <w:color w:val="000000"/>
          <w:sz w:val="28"/>
          <w:szCs w:val="28"/>
          <w:lang w:val="en-US" w:eastAsia="zh-CN"/>
        </w:rPr>
        <w:t>十</w:t>
      </w:r>
      <w:r>
        <w:rPr>
          <w:rFonts w:hint="eastAsia"/>
          <w:color w:val="000000"/>
          <w:sz w:val="28"/>
          <w:szCs w:val="28"/>
          <w:lang w:eastAsia="zh-CN"/>
        </w:rPr>
        <w:t>、</w:t>
      </w:r>
      <w:r>
        <w:rPr>
          <w:rFonts w:hint="eastAsia"/>
          <w:color w:val="000000"/>
          <w:sz w:val="28"/>
          <w:szCs w:val="28"/>
        </w:rPr>
        <w:t>施工负责人和项目技术负责人的签名确认表</w:t>
      </w:r>
    </w:p>
    <w:p>
      <w:pPr>
        <w:pStyle w:val="4"/>
        <w:spacing w:before="1"/>
        <w:ind w:left="0" w:leftChars="0" w:firstLine="0" w:firstLineChars="0"/>
        <w:outlineLvl w:val="0"/>
        <w:rPr>
          <w:color w:val="auto"/>
          <w:highlight w:val="none"/>
        </w:rPr>
      </w:pPr>
      <w:r>
        <w:rPr>
          <w:rFonts w:hint="eastAsia"/>
          <w:color w:val="000000"/>
          <w:sz w:val="28"/>
          <w:szCs w:val="28"/>
          <w:lang w:val="en-US" w:eastAsia="zh-CN"/>
        </w:rPr>
        <w:t>十一</w:t>
      </w:r>
      <w:r>
        <w:rPr>
          <w:rFonts w:hint="eastAsia"/>
          <w:color w:val="000000"/>
          <w:sz w:val="28"/>
          <w:szCs w:val="28"/>
        </w:rPr>
        <w:t>、需要提交的其他投标资料</w:t>
      </w:r>
      <w:bookmarkEnd w:id="586"/>
    </w:p>
    <w:p>
      <w:pPr>
        <w:pStyle w:val="14"/>
        <w:spacing w:before="12"/>
        <w:rPr>
          <w:color w:val="auto"/>
          <w:sz w:val="33"/>
          <w:highlight w:val="none"/>
        </w:rPr>
      </w:pPr>
    </w:p>
    <w:p>
      <w:pPr>
        <w:spacing w:after="0"/>
        <w:rPr>
          <w:color w:val="auto"/>
          <w:highlight w:val="none"/>
        </w:rPr>
        <w:sectPr>
          <w:footerReference r:id="rId14" w:type="default"/>
          <w:pgSz w:w="11910" w:h="16840"/>
          <w:pgMar w:top="1580" w:right="600" w:bottom="1240" w:left="860" w:header="0" w:footer="1059" w:gutter="0"/>
          <w:pgBorders>
            <w:top w:val="none" w:sz="0" w:space="0"/>
            <w:left w:val="none" w:sz="0" w:space="0"/>
            <w:bottom w:val="none" w:sz="0" w:space="0"/>
            <w:right w:val="none" w:sz="0" w:space="0"/>
          </w:pgBorders>
          <w:pgNumType w:fmt="decimal" w:start="86"/>
          <w:cols w:space="720" w:num="1"/>
        </w:sectPr>
      </w:pPr>
    </w:p>
    <w:p>
      <w:pPr>
        <w:pStyle w:val="14"/>
        <w:rPr>
          <w:color w:val="auto"/>
          <w:highlight w:val="none"/>
        </w:rPr>
      </w:pPr>
    </w:p>
    <w:p>
      <w:pPr>
        <w:ind w:firstLine="3614" w:firstLineChars="1000"/>
        <w:rPr>
          <w:rFonts w:hint="eastAsia" w:ascii="宋体" w:hAnsi="宋体" w:cs="宋体"/>
          <w:b/>
          <w:bCs/>
          <w:color w:val="000000"/>
          <w:sz w:val="36"/>
          <w:szCs w:val="36"/>
        </w:rPr>
      </w:pPr>
      <w:r>
        <w:rPr>
          <w:rFonts w:hint="eastAsia" w:ascii="宋体" w:hAnsi="宋体" w:cs="宋体"/>
          <w:b/>
          <w:bCs/>
          <w:color w:val="000000"/>
          <w:sz w:val="36"/>
          <w:szCs w:val="36"/>
        </w:rPr>
        <w:t>一．投标函</w:t>
      </w:r>
    </w:p>
    <w:p>
      <w:pPr>
        <w:spacing w:line="360" w:lineRule="auto"/>
        <w:rPr>
          <w:rFonts w:hint="eastAsia" w:ascii="宋体" w:hAnsi="宋体" w:cs="宋体"/>
          <w:color w:val="000000"/>
        </w:rPr>
      </w:pPr>
      <w:r>
        <w:rPr>
          <w:rFonts w:hint="eastAsia" w:ascii="宋体" w:hAnsi="宋体" w:cs="宋体"/>
          <w:color w:val="000000"/>
        </w:rPr>
        <w:t xml:space="preserve"> </w:t>
      </w:r>
    </w:p>
    <w:p>
      <w:pPr>
        <w:spacing w:line="360" w:lineRule="auto"/>
      </w:pPr>
      <w:r>
        <w:rPr>
          <w:rFonts w:hint="eastAsia" w:ascii="宋体" w:hAnsi="宋体" w:cs="宋体"/>
          <w:color w:val="000000"/>
          <w:u w:val="single"/>
        </w:rPr>
        <w:t xml:space="preserve">              </w:t>
      </w:r>
      <w:r>
        <w:rPr>
          <w:rFonts w:hint="eastAsia" w:ascii="宋体" w:hAnsi="宋体" w:cs="宋体"/>
          <w:color w:val="000000"/>
        </w:rPr>
        <w:t xml:space="preserve">   （招标人全称）：</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1.根据你方的</w:t>
      </w:r>
      <w:r>
        <w:rPr>
          <w:rFonts w:hint="eastAsia" w:cs="宋体"/>
          <w:b/>
          <w:bCs/>
          <w:color w:val="000000"/>
          <w:sz w:val="21"/>
          <w:szCs w:val="21"/>
          <w:u w:val="single"/>
          <w:lang w:eastAsia="zh-CN"/>
        </w:rPr>
        <w:t>云安区生猪产业园—优质生猪标准化规模养殖基地项目</w:t>
      </w:r>
      <w:r>
        <w:rPr>
          <w:rFonts w:hint="eastAsia" w:ascii="宋体" w:hAnsi="宋体" w:cs="宋体"/>
          <w:color w:val="000000"/>
          <w:sz w:val="21"/>
          <w:szCs w:val="21"/>
        </w:rPr>
        <w:t>招标文件，</w:t>
      </w:r>
      <w:r>
        <w:rPr>
          <w:rFonts w:hint="eastAsia" w:cs="宋体"/>
          <w:color w:val="000000"/>
          <w:sz w:val="21"/>
          <w:szCs w:val="21"/>
          <w:lang w:val="en-US" w:eastAsia="zh-CN"/>
        </w:rPr>
        <w:t>参</w:t>
      </w:r>
      <w:r>
        <w:rPr>
          <w:rFonts w:hint="eastAsia" w:ascii="宋体" w:hAnsi="宋体" w:cs="宋体"/>
          <w:szCs w:val="21"/>
        </w:rPr>
        <w:t>照《中华人民共和国招标投标法》等有关规定，经研究上述招标文件的投标须知、合同条款、图纸、工程建设标准和工程量清单及其他有关文件后，我方愿以人民币（大写）</w:t>
      </w:r>
      <w:r>
        <w:rPr>
          <w:rFonts w:hint="eastAsia" w:ascii="宋体" w:hAnsi="宋体" w:cs="宋体"/>
          <w:szCs w:val="21"/>
          <w:lang w:val="en-US" w:eastAsia="zh-CN"/>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）的投标报价并按上述图纸、合同条款、工程建设标准和工程量清单的条件要求承包上述工程的施工、竣工，并承担任何质量缺陷保修责任</w:t>
      </w:r>
      <w:r>
        <w:rPr>
          <w:rFonts w:hint="eastAsia" w:ascii="宋体" w:hAnsi="宋体" w:cs="宋体"/>
          <w:color w:val="000000"/>
          <w:sz w:val="21"/>
          <w:szCs w:val="21"/>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2.如果我方中标，我方保证在中标通知书规定的期限内与你方签订合同协议书，并在所规定的期限内完成通知要求的任务。</w:t>
      </w:r>
    </w:p>
    <w:p>
      <w:pPr>
        <w:spacing w:line="360" w:lineRule="auto"/>
        <w:ind w:firstLine="420" w:firstLineChars="200"/>
        <w:rPr>
          <w:rFonts w:hint="eastAsia" w:ascii="宋体" w:hAnsi="宋体" w:cs="宋体"/>
          <w:b/>
          <w:bCs/>
          <w:color w:val="000000"/>
          <w:sz w:val="21"/>
          <w:szCs w:val="21"/>
        </w:rPr>
      </w:pPr>
      <w:r>
        <w:rPr>
          <w:rFonts w:hint="eastAsia" w:ascii="宋体" w:hAnsi="宋体" w:cs="宋体"/>
          <w:color w:val="000000"/>
          <w:sz w:val="21"/>
          <w:szCs w:val="21"/>
        </w:rPr>
        <w:t>3.一旦我方中标，我方保证按合同协议书中规定的工期内完成全部工作，</w:t>
      </w:r>
      <w:r>
        <w:rPr>
          <w:rFonts w:hint="eastAsia" w:ascii="宋体" w:hAnsi="宋体" w:cs="宋体"/>
          <w:b/>
          <w:bCs/>
          <w:color w:val="000000"/>
          <w:sz w:val="21"/>
          <w:szCs w:val="21"/>
        </w:rPr>
        <w:t>总工期为</w:t>
      </w:r>
      <w:r>
        <w:rPr>
          <w:rFonts w:hint="eastAsia" w:ascii="宋体" w:hAnsi="宋体" w:cs="宋体"/>
          <w:b/>
          <w:bCs/>
          <w:color w:val="000000"/>
          <w:sz w:val="21"/>
          <w:szCs w:val="21"/>
          <w:u w:val="single"/>
          <w:lang w:val="en-US" w:eastAsia="zh-CN"/>
        </w:rPr>
        <w:t xml:space="preserve"> XXX</w:t>
      </w:r>
      <w:r>
        <w:rPr>
          <w:rFonts w:hint="eastAsia" w:ascii="宋体" w:hAnsi="宋体" w:cs="宋体"/>
          <w:b/>
          <w:bCs/>
          <w:color w:val="000000"/>
          <w:sz w:val="21"/>
          <w:szCs w:val="21"/>
        </w:rPr>
        <w:t>个日历天。</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4.如果我方中标，我方将按照规定提交履约担保。</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5.我方承诺在本投标文件有效期内，本投标函对我方具有约束力，并随时接受中标。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6.在合同协议书正式签署生效之前，本投标函连同你方的中标通知书将构成我们双方之间共同遵守的文件，对双方具有约束力。</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7.我方将与本投标函一起，提交招标文件规定金额的投标担保。</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8.此次投标所提供的资料及拟派项目班子人员、合同的签署与履行的承诺等如有虚假，本企业愿接受招标人、建设行政主管部门及其他有关部门依据有关法律法规与招标文件规定给予的处罚，并承担违约责任。</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pPr>
        <w:spacing w:line="360" w:lineRule="auto"/>
        <w:ind w:right="1230" w:rightChars="559"/>
        <w:rPr>
          <w:rFonts w:hint="eastAsia" w:ascii="宋体" w:hAnsi="宋体" w:cs="宋体"/>
          <w:color w:val="000000"/>
          <w:sz w:val="21"/>
          <w:szCs w:val="21"/>
        </w:rPr>
      </w:pPr>
    </w:p>
    <w:p>
      <w:pPr>
        <w:spacing w:line="360" w:lineRule="auto"/>
        <w:ind w:left="420" w:right="1230" w:rightChars="559" w:hanging="420" w:hanging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投标人：             （盖公章）</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法定代表人（或其委托代理人）：        （签字 或盖章）</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日 期：     年      月      日</w:t>
      </w: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p>
    <w:p>
      <w:pPr>
        <w:jc w:val="center"/>
        <w:rPr>
          <w:rFonts w:hint="eastAsia" w:ascii="宋体" w:hAnsi="宋体" w:cs="宋体"/>
          <w:b/>
          <w:bCs/>
          <w:color w:val="000000"/>
          <w:sz w:val="36"/>
          <w:szCs w:val="36"/>
        </w:rPr>
      </w:pPr>
      <w:r>
        <w:rPr>
          <w:rFonts w:hint="eastAsia" w:ascii="宋体" w:hAnsi="宋体" w:cs="宋体"/>
          <w:b/>
          <w:bCs/>
          <w:color w:val="000000"/>
          <w:sz w:val="36"/>
          <w:szCs w:val="36"/>
        </w:rPr>
        <w:t>二. 投标函附录</w:t>
      </w:r>
    </w:p>
    <w:p>
      <w:pPr>
        <w:ind w:left="1500" w:hanging="1400" w:hangingChars="500"/>
        <w:jc w:val="both"/>
        <w:rPr>
          <w:rFonts w:hint="eastAsia" w:ascii="宋体" w:hAnsi="宋体" w:cs="宋体"/>
          <w:color w:val="000000"/>
          <w:sz w:val="28"/>
          <w:szCs w:val="28"/>
        </w:rPr>
      </w:pPr>
    </w:p>
    <w:p>
      <w:pPr>
        <w:ind w:left="1500" w:hanging="1400" w:hangingChars="500"/>
        <w:jc w:val="both"/>
        <w:rPr>
          <w:rFonts w:hint="eastAsia" w:ascii="宋体" w:hAnsi="宋体" w:eastAsia="宋体" w:cs="宋体"/>
          <w:b/>
          <w:bCs/>
          <w:color w:val="000000"/>
          <w:sz w:val="28"/>
          <w:szCs w:val="28"/>
          <w:lang w:eastAsia="zh-CN"/>
        </w:rPr>
      </w:pPr>
      <w:r>
        <w:rPr>
          <w:rFonts w:hint="eastAsia" w:ascii="宋体" w:hAnsi="宋体" w:cs="宋体"/>
          <w:color w:val="000000"/>
          <w:sz w:val="28"/>
          <w:szCs w:val="28"/>
        </w:rPr>
        <w:t>项目名称：</w:t>
      </w:r>
      <w:r>
        <w:rPr>
          <w:rFonts w:hint="eastAsia" w:cs="宋体"/>
          <w:color w:val="000000"/>
          <w:sz w:val="28"/>
          <w:szCs w:val="28"/>
          <w:lang w:eastAsia="zh-CN"/>
        </w:rPr>
        <w:t>云安区生猪产业园—优质生猪标准化规模养殖基地项目</w:t>
      </w:r>
    </w:p>
    <w:tbl>
      <w:tblPr>
        <w:tblStyle w:val="23"/>
        <w:tblpPr w:leftFromText="180" w:rightFromText="180" w:vertAnchor="text" w:horzAnchor="page" w:tblpX="1568" w:tblpY="135"/>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96"/>
        <w:gridCol w:w="2720"/>
        <w:gridCol w:w="3120"/>
        <w:gridCol w:w="1852"/>
        <w:gridCol w:w="1171"/>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1" w:hRule="atLeast"/>
        </w:trPr>
        <w:tc>
          <w:tcPr>
            <w:tcW w:w="696" w:type="dxa"/>
            <w:tcBorders>
              <w:bottom w:val="single" w:color="000000" w:sz="6" w:space="0"/>
              <w:right w:val="single" w:color="000000" w:sz="6" w:space="0"/>
            </w:tcBorders>
            <w:noWrap w:val="0"/>
            <w:vAlign w:val="center"/>
          </w:tcPr>
          <w:p>
            <w:pPr>
              <w:pStyle w:val="29"/>
              <w:spacing w:before="126" w:beforeLines="0" w:line="360" w:lineRule="auto"/>
              <w:ind w:left="87" w:right="58"/>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720" w:type="dxa"/>
            <w:tcBorders>
              <w:left w:val="single" w:color="000000" w:sz="6" w:space="0"/>
              <w:bottom w:val="single" w:color="000000" w:sz="6" w:space="0"/>
              <w:right w:val="single" w:color="000000" w:sz="6" w:space="0"/>
            </w:tcBorders>
            <w:noWrap w:val="0"/>
            <w:vAlign w:val="center"/>
          </w:tcPr>
          <w:p>
            <w:pPr>
              <w:pStyle w:val="29"/>
              <w:spacing w:before="126" w:beforeLines="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 目 内 容</w:t>
            </w:r>
          </w:p>
        </w:tc>
        <w:tc>
          <w:tcPr>
            <w:tcW w:w="3120" w:type="dxa"/>
            <w:tcBorders>
              <w:left w:val="single" w:color="000000" w:sz="6" w:space="0"/>
              <w:bottom w:val="single" w:color="000000" w:sz="6" w:space="0"/>
              <w:right w:val="single" w:color="000000" w:sz="6" w:space="0"/>
            </w:tcBorders>
            <w:noWrap w:val="0"/>
            <w:vAlign w:val="center"/>
          </w:tcPr>
          <w:p>
            <w:pPr>
              <w:pStyle w:val="29"/>
              <w:spacing w:before="126" w:beforeLines="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约 定 内 容</w:t>
            </w:r>
          </w:p>
        </w:tc>
        <w:tc>
          <w:tcPr>
            <w:tcW w:w="1852" w:type="dxa"/>
            <w:tcBorders>
              <w:left w:val="single" w:color="000000" w:sz="6" w:space="0"/>
              <w:bottom w:val="single" w:color="000000" w:sz="6" w:space="0"/>
              <w:right w:val="single" w:color="000000" w:sz="6" w:space="0"/>
            </w:tcBorders>
            <w:noWrap w:val="0"/>
            <w:vAlign w:val="center"/>
          </w:tcPr>
          <w:p>
            <w:pPr>
              <w:pStyle w:val="14"/>
              <w:tabs>
                <w:tab w:val="left" w:pos="5336"/>
              </w:tabs>
              <w:spacing w:line="240" w:lineRule="auto"/>
              <w:ind w:right="-79" w:rightChars="-36"/>
              <w:jc w:val="center"/>
              <w:rPr>
                <w:rFonts w:hint="eastAsia"/>
                <w:color w:val="000000"/>
                <w:lang w:eastAsia="zh-CN"/>
              </w:rPr>
            </w:pPr>
            <w:r>
              <w:rPr>
                <w:rFonts w:hint="eastAsia"/>
                <w:color w:val="000000"/>
                <w:lang w:eastAsia="zh-CN"/>
              </w:rPr>
              <w:t>是否响应（</w:t>
            </w:r>
            <w:r>
              <w:rPr>
                <w:rFonts w:hint="eastAsia"/>
                <w:color w:val="000000"/>
                <w:lang w:val="en-US" w:eastAsia="zh-CN"/>
              </w:rPr>
              <w:t>请“是”或“否”</w:t>
            </w:r>
            <w:r>
              <w:rPr>
                <w:rFonts w:hint="eastAsia"/>
                <w:color w:val="000000"/>
                <w:lang w:eastAsia="zh-CN"/>
              </w:rPr>
              <w:t>）</w:t>
            </w:r>
          </w:p>
        </w:tc>
        <w:tc>
          <w:tcPr>
            <w:tcW w:w="1171" w:type="dxa"/>
            <w:tcBorders>
              <w:left w:val="single" w:color="000000" w:sz="6" w:space="0"/>
              <w:bottom w:val="single" w:color="000000" w:sz="6" w:space="0"/>
            </w:tcBorders>
            <w:noWrap w:val="0"/>
            <w:vAlign w:val="center"/>
          </w:tcPr>
          <w:p>
            <w:pPr>
              <w:pStyle w:val="29"/>
              <w:spacing w:before="126" w:beforeLines="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履约保证金</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按招标文件规定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低价风险金</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按招标文件规定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施工准备时间</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误期违约金额</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按招标文件规定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误期赔偿费限额</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提前工期奖</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提前工期奖限额</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总工期</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共（</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）个日历天</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lang w:eastAsia="zh-CN"/>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投标有效期</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（）日历天</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投标保证金</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人民币大写（）元</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质量标准</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合格</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工程质量违约金最高限额</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预付款金额</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预付款保函金额</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进度款付款</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16</w:t>
            </w:r>
          </w:p>
        </w:tc>
        <w:tc>
          <w:tcPr>
            <w:tcW w:w="27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竣工结算款付款时间</w:t>
            </w:r>
          </w:p>
        </w:tc>
        <w:tc>
          <w:tcPr>
            <w:tcW w:w="3120" w:type="dxa"/>
            <w:tcBorders>
              <w:top w:val="single" w:color="000000" w:sz="6" w:space="0"/>
              <w:left w:val="single" w:color="000000" w:sz="6" w:space="0"/>
              <w:bottom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bottom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bottom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trPr>
        <w:tc>
          <w:tcPr>
            <w:tcW w:w="696" w:type="dxa"/>
            <w:tcBorders>
              <w:top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17</w:t>
            </w:r>
          </w:p>
        </w:tc>
        <w:tc>
          <w:tcPr>
            <w:tcW w:w="2720" w:type="dxa"/>
            <w:tcBorders>
              <w:top w:val="single" w:color="000000" w:sz="6" w:space="0"/>
              <w:left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保修期</w:t>
            </w:r>
          </w:p>
        </w:tc>
        <w:tc>
          <w:tcPr>
            <w:tcW w:w="3120" w:type="dxa"/>
            <w:tcBorders>
              <w:top w:val="single" w:color="000000" w:sz="6" w:space="0"/>
              <w:left w:val="single" w:color="000000" w:sz="6" w:space="0"/>
              <w:right w:val="single" w:color="000000" w:sz="6" w:space="0"/>
            </w:tcBorders>
            <w:noWrap w:val="0"/>
            <w:vAlign w:val="center"/>
          </w:tcPr>
          <w:p>
            <w:pPr>
              <w:pStyle w:val="29"/>
              <w:spacing w:before="131" w:beforeLines="0" w:line="360" w:lineRule="auto"/>
              <w:ind w:left="122"/>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按合同文件约定</w:t>
            </w:r>
          </w:p>
        </w:tc>
        <w:tc>
          <w:tcPr>
            <w:tcW w:w="1852" w:type="dxa"/>
            <w:tcBorders>
              <w:top w:val="single" w:color="000000" w:sz="6" w:space="0"/>
              <w:left w:val="single" w:color="000000" w:sz="6" w:space="0"/>
              <w:righ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c>
          <w:tcPr>
            <w:tcW w:w="1171" w:type="dxa"/>
            <w:tcBorders>
              <w:top w:val="single" w:color="000000" w:sz="6" w:space="0"/>
              <w:left w:val="single" w:color="000000" w:sz="6" w:space="0"/>
            </w:tcBorders>
            <w:noWrap w:val="0"/>
            <w:vAlign w:val="center"/>
          </w:tcPr>
          <w:p>
            <w:pPr>
              <w:pStyle w:val="29"/>
              <w:spacing w:line="360" w:lineRule="auto"/>
              <w:jc w:val="center"/>
              <w:rPr>
                <w:rFonts w:hint="eastAsia" w:ascii="宋体" w:hAnsi="宋体" w:eastAsia="宋体" w:cs="宋体"/>
                <w:color w:val="000000"/>
                <w:sz w:val="21"/>
                <w:szCs w:val="21"/>
              </w:rPr>
            </w:pPr>
          </w:p>
        </w:tc>
      </w:tr>
    </w:tbl>
    <w:p>
      <w:pPr>
        <w:pStyle w:val="14"/>
        <w:tabs>
          <w:tab w:val="left" w:pos="5336"/>
        </w:tabs>
        <w:rPr>
          <w:rFonts w:hint="eastAsia"/>
          <w:color w:val="000000"/>
        </w:rPr>
      </w:pPr>
    </w:p>
    <w:p>
      <w:pPr>
        <w:spacing w:line="360" w:lineRule="auto"/>
        <w:ind w:left="440" w:leftChars="200" w:right="1230" w:rightChars="559"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投标人： </w:t>
      </w:r>
      <w:r>
        <w:rPr>
          <w:rFonts w:hint="eastAsia" w:ascii="宋体" w:hAnsi="宋体" w:cs="宋体"/>
          <w:color w:val="000000"/>
          <w:sz w:val="21"/>
          <w:szCs w:val="21"/>
        </w:rPr>
        <w:tab/>
      </w:r>
      <w:r>
        <w:rPr>
          <w:rFonts w:hint="eastAsia" w:ascii="宋体" w:hAnsi="宋体" w:cs="宋体"/>
          <w:color w:val="000000"/>
          <w:sz w:val="21"/>
          <w:szCs w:val="21"/>
        </w:rPr>
        <w:tab/>
      </w:r>
      <w:r>
        <w:rPr>
          <w:rFonts w:hint="eastAsia" w:ascii="宋体" w:hAnsi="宋体" w:cs="宋体"/>
          <w:color w:val="000000"/>
          <w:sz w:val="21"/>
          <w:szCs w:val="21"/>
        </w:rPr>
        <w:t>（盖公章）</w:t>
      </w:r>
    </w:p>
    <w:p>
      <w:pPr>
        <w:pStyle w:val="14"/>
        <w:tabs>
          <w:tab w:val="left" w:pos="4812"/>
        </w:tabs>
        <w:spacing w:before="79" w:beforeLines="0"/>
        <w:ind w:left="818"/>
        <w:rPr>
          <w:rFonts w:hint="eastAsia"/>
          <w:color w:val="000000"/>
          <w:spacing w:val="-3"/>
        </w:rPr>
      </w:pPr>
      <w:r>
        <w:rPr>
          <w:rFonts w:hint="eastAsia"/>
          <w:color w:val="000000"/>
        </w:rPr>
        <w:t>法定</w:t>
      </w:r>
      <w:r>
        <w:rPr>
          <w:rFonts w:hint="eastAsia"/>
          <w:color w:val="000000"/>
          <w:spacing w:val="-3"/>
        </w:rPr>
        <w:t>代</w:t>
      </w:r>
      <w:r>
        <w:rPr>
          <w:rFonts w:hint="eastAsia"/>
          <w:color w:val="000000"/>
        </w:rPr>
        <w:t>表</w:t>
      </w:r>
      <w:r>
        <w:rPr>
          <w:rFonts w:hint="eastAsia"/>
          <w:color w:val="000000"/>
          <w:spacing w:val="-3"/>
        </w:rPr>
        <w:t>人</w:t>
      </w:r>
      <w:r>
        <w:rPr>
          <w:rFonts w:hint="eastAsia"/>
          <w:color w:val="000000"/>
        </w:rPr>
        <w:t>或</w:t>
      </w:r>
      <w:r>
        <w:rPr>
          <w:rFonts w:hint="eastAsia"/>
          <w:color w:val="000000"/>
          <w:spacing w:val="-3"/>
        </w:rPr>
        <w:t>授</w:t>
      </w:r>
      <w:r>
        <w:rPr>
          <w:rFonts w:hint="eastAsia"/>
          <w:color w:val="000000"/>
        </w:rPr>
        <w:t>权</w:t>
      </w:r>
      <w:r>
        <w:rPr>
          <w:rFonts w:hint="eastAsia"/>
          <w:color w:val="000000"/>
          <w:spacing w:val="-3"/>
        </w:rPr>
        <w:t>委</w:t>
      </w:r>
      <w:r>
        <w:rPr>
          <w:rFonts w:hint="eastAsia"/>
          <w:color w:val="000000"/>
        </w:rPr>
        <w:t>托</w:t>
      </w:r>
      <w:r>
        <w:rPr>
          <w:rFonts w:hint="eastAsia"/>
          <w:color w:val="000000"/>
          <w:spacing w:val="-3"/>
        </w:rPr>
        <w:t>人</w:t>
      </w:r>
      <w:r>
        <w:rPr>
          <w:rFonts w:hint="eastAsia"/>
          <w:color w:val="000000"/>
        </w:rPr>
        <w:t>：</w:t>
      </w:r>
      <w:r>
        <w:rPr>
          <w:rFonts w:hint="eastAsia"/>
          <w:color w:val="000000"/>
          <w:u w:val="single"/>
        </w:rPr>
        <w:t xml:space="preserve"> </w:t>
      </w:r>
      <w:r>
        <w:rPr>
          <w:rFonts w:hint="eastAsia"/>
          <w:color w:val="000000"/>
          <w:u w:val="single"/>
        </w:rPr>
        <w:tab/>
      </w:r>
      <w:r>
        <w:rPr>
          <w:rFonts w:hint="eastAsia"/>
          <w:color w:val="000000"/>
          <w:spacing w:val="-3"/>
        </w:rPr>
        <w:t>（</w:t>
      </w:r>
      <w:r>
        <w:rPr>
          <w:rFonts w:hint="eastAsia"/>
          <w:color w:val="000000"/>
        </w:rPr>
        <w:t>签</w:t>
      </w:r>
      <w:r>
        <w:rPr>
          <w:rFonts w:hint="eastAsia"/>
          <w:color w:val="000000"/>
          <w:spacing w:val="-3"/>
        </w:rPr>
        <w:t>字</w:t>
      </w:r>
      <w:r>
        <w:rPr>
          <w:rFonts w:hint="eastAsia"/>
          <w:color w:val="000000"/>
        </w:rPr>
        <w:t>或盖</w:t>
      </w:r>
      <w:r>
        <w:rPr>
          <w:rFonts w:hint="eastAsia"/>
          <w:color w:val="000000"/>
          <w:spacing w:val="-3"/>
        </w:rPr>
        <w:t>章</w:t>
      </w:r>
      <w:r>
        <w:rPr>
          <w:rFonts w:hint="eastAsia"/>
          <w:color w:val="000000"/>
        </w:rPr>
        <w:t>）</w:t>
      </w:r>
    </w:p>
    <w:p>
      <w:pPr>
        <w:pStyle w:val="28"/>
        <w:tabs>
          <w:tab w:val="left" w:pos="1768"/>
        </w:tabs>
        <w:spacing w:before="173" w:beforeLines="0"/>
        <w:ind w:left="440" w:leftChars="200" w:firstLine="414"/>
        <w:rPr>
          <w:rFonts w:hint="eastAsia" w:ascii="宋体" w:hAnsi="宋体" w:cs="宋体"/>
          <w:color w:val="000000"/>
          <w:spacing w:val="-3"/>
          <w:sz w:val="21"/>
        </w:rPr>
      </w:pPr>
      <w:r>
        <w:rPr>
          <w:rFonts w:hint="eastAsia" w:ascii="宋体" w:hAnsi="宋体" w:cs="宋体"/>
          <w:color w:val="000000"/>
          <w:spacing w:val="-3"/>
          <w:sz w:val="21"/>
        </w:rPr>
        <w:t>日期：  年   月   日</w:t>
      </w:r>
    </w:p>
    <w:p>
      <w:pPr>
        <w:pStyle w:val="28"/>
        <w:tabs>
          <w:tab w:val="left" w:pos="1768"/>
        </w:tabs>
        <w:spacing w:before="173" w:beforeLines="0"/>
        <w:ind w:left="440" w:leftChars="200" w:firstLine="414"/>
        <w:rPr>
          <w:rFonts w:hint="eastAsia" w:ascii="宋体" w:hAnsi="宋体" w:cs="宋体"/>
          <w:color w:val="000000"/>
          <w:spacing w:val="-3"/>
          <w:sz w:val="21"/>
        </w:rPr>
      </w:pPr>
    </w:p>
    <w:p>
      <w:pPr>
        <w:pStyle w:val="28"/>
        <w:tabs>
          <w:tab w:val="left" w:pos="1768"/>
        </w:tabs>
        <w:spacing w:before="173" w:beforeLines="0"/>
        <w:ind w:left="440" w:leftChars="200" w:firstLine="414"/>
        <w:rPr>
          <w:rFonts w:hint="eastAsia" w:ascii="宋体" w:hAnsi="宋体" w:cs="宋体"/>
          <w:color w:val="000000"/>
          <w:spacing w:val="-3"/>
          <w:sz w:val="21"/>
        </w:rPr>
      </w:pPr>
    </w:p>
    <w:p>
      <w:pPr>
        <w:jc w:val="center"/>
        <w:rPr>
          <w:rFonts w:hint="eastAsia" w:ascii="宋体" w:hAnsi="宋体" w:cs="宋体"/>
          <w:b/>
          <w:bCs/>
          <w:color w:val="000000"/>
          <w:sz w:val="36"/>
          <w:szCs w:val="36"/>
        </w:rPr>
      </w:pPr>
      <w:r>
        <w:rPr>
          <w:rFonts w:hint="eastAsia" w:ascii="宋体" w:hAnsi="宋体" w:cs="宋体"/>
          <w:b/>
          <w:bCs/>
          <w:color w:val="000000"/>
          <w:sz w:val="36"/>
          <w:szCs w:val="36"/>
        </w:rPr>
        <w:t>三、法定代表人身份证明</w:t>
      </w:r>
    </w:p>
    <w:p>
      <w:pPr>
        <w:pStyle w:val="14"/>
        <w:spacing w:before="5" w:beforeLines="0"/>
        <w:rPr>
          <w:rFonts w:hint="eastAsia"/>
          <w:color w:val="000000"/>
          <w:sz w:val="18"/>
        </w:rPr>
      </w:pPr>
    </w:p>
    <w:p>
      <w:pPr>
        <w:pStyle w:val="14"/>
        <w:spacing w:before="5" w:beforeLines="0"/>
        <w:rPr>
          <w:rFonts w:hint="eastAsia"/>
          <w:color w:val="000000"/>
          <w:sz w:val="18"/>
        </w:rPr>
      </w:pPr>
    </w:p>
    <w:p>
      <w:pPr>
        <w:pStyle w:val="14"/>
        <w:spacing w:before="5" w:beforeLines="0"/>
        <w:rPr>
          <w:rFonts w:hint="eastAsia"/>
          <w:color w:val="000000"/>
          <w:sz w:val="18"/>
        </w:rPr>
      </w:pPr>
    </w:p>
    <w:p>
      <w:pPr>
        <w:pStyle w:val="14"/>
        <w:spacing w:before="5" w:beforeLines="0"/>
        <w:rPr>
          <w:rFonts w:hint="eastAsia"/>
          <w:color w:val="000000"/>
          <w:sz w:val="18"/>
        </w:rPr>
      </w:pPr>
    </w:p>
    <w:p>
      <w:pPr>
        <w:pStyle w:val="14"/>
        <w:spacing w:before="5" w:beforeLines="0"/>
        <w:rPr>
          <w:rFonts w:hint="eastAsia"/>
          <w:color w:val="000000"/>
          <w:sz w:val="18"/>
        </w:rPr>
      </w:pPr>
    </w:p>
    <w:p>
      <w:pPr>
        <w:spacing w:line="480" w:lineRule="auto"/>
        <w:ind w:left="660" w:leftChars="300"/>
        <w:rPr>
          <w:rFonts w:hint="eastAsia"/>
          <w:color w:val="000000"/>
        </w:rPr>
      </w:pPr>
      <w:r>
        <w:rPr>
          <w:rFonts w:hint="eastAsia"/>
          <w:color w:val="000000"/>
        </w:rPr>
        <w:t xml:space="preserve">投标人名称： </w:t>
      </w:r>
    </w:p>
    <w:p>
      <w:pPr>
        <w:spacing w:line="480" w:lineRule="auto"/>
        <w:ind w:left="660" w:leftChars="300"/>
        <w:rPr>
          <w:rFonts w:hint="eastAsia"/>
          <w:color w:val="000000"/>
        </w:rPr>
      </w:pPr>
      <w:r>
        <w:rPr>
          <w:rFonts w:hint="eastAsia"/>
          <w:color w:val="000000"/>
        </w:rPr>
        <w:t xml:space="preserve">单位性质： </w:t>
      </w:r>
    </w:p>
    <w:p>
      <w:pPr>
        <w:spacing w:line="480" w:lineRule="auto"/>
        <w:ind w:left="660" w:leftChars="300"/>
        <w:rPr>
          <w:rFonts w:hint="eastAsia"/>
          <w:color w:val="000000"/>
        </w:rPr>
      </w:pPr>
      <w:r>
        <w:rPr>
          <w:rFonts w:hint="eastAsia"/>
          <w:color w:val="000000"/>
        </w:rPr>
        <w:t>地址：</w:t>
      </w:r>
    </w:p>
    <w:p>
      <w:pPr>
        <w:spacing w:line="480" w:lineRule="auto"/>
        <w:ind w:left="660" w:leftChars="300"/>
        <w:rPr>
          <w:rFonts w:hint="eastAsia"/>
          <w:color w:val="000000"/>
        </w:rPr>
      </w:pPr>
      <w:r>
        <w:rPr>
          <w:rFonts w:hint="eastAsia"/>
          <w:color w:val="000000"/>
        </w:rPr>
        <w:t>成立时间：</w:t>
      </w:r>
      <w:r>
        <w:rPr>
          <w:rFonts w:hint="eastAsia"/>
          <w:color w:val="000000"/>
        </w:rPr>
        <w:tab/>
      </w:r>
      <w:r>
        <w:rPr>
          <w:rFonts w:hint="eastAsia"/>
          <w:color w:val="000000"/>
        </w:rPr>
        <w:t xml:space="preserve">年 </w:t>
      </w:r>
      <w:r>
        <w:rPr>
          <w:rFonts w:hint="eastAsia"/>
          <w:color w:val="000000"/>
        </w:rPr>
        <w:tab/>
      </w:r>
      <w:r>
        <w:rPr>
          <w:rFonts w:hint="eastAsia"/>
          <w:color w:val="000000"/>
        </w:rPr>
        <w:t xml:space="preserve">   月 </w:t>
      </w:r>
      <w:r>
        <w:rPr>
          <w:rFonts w:hint="eastAsia"/>
          <w:color w:val="000000"/>
        </w:rPr>
        <w:tab/>
      </w:r>
      <w:r>
        <w:rPr>
          <w:rFonts w:hint="eastAsia"/>
          <w:color w:val="000000"/>
        </w:rPr>
        <w:t xml:space="preserve"> 日</w:t>
      </w:r>
    </w:p>
    <w:p>
      <w:pPr>
        <w:spacing w:line="480" w:lineRule="auto"/>
        <w:ind w:left="660" w:leftChars="300"/>
        <w:rPr>
          <w:rFonts w:hint="eastAsia"/>
          <w:color w:val="000000"/>
        </w:rPr>
      </w:pPr>
      <w:r>
        <w:rPr>
          <w:rFonts w:hint="eastAsia"/>
          <w:color w:val="000000"/>
        </w:rPr>
        <w:t>经营期限：</w:t>
      </w:r>
    </w:p>
    <w:p>
      <w:pPr>
        <w:spacing w:line="480" w:lineRule="auto"/>
        <w:ind w:left="660" w:leftChars="300"/>
        <w:rPr>
          <w:rFonts w:hint="eastAsia"/>
          <w:color w:val="000000"/>
        </w:rPr>
      </w:pPr>
      <w:r>
        <w:rPr>
          <w:rFonts w:hint="eastAsia"/>
          <w:color w:val="000000"/>
        </w:rPr>
        <w:t>姓名：</w:t>
      </w:r>
      <w:r>
        <w:rPr>
          <w:rFonts w:hint="eastAsia"/>
          <w:color w:val="000000"/>
        </w:rPr>
        <w:tab/>
      </w:r>
      <w:r>
        <w:rPr>
          <w:rFonts w:hint="eastAsia"/>
          <w:color w:val="000000"/>
        </w:rPr>
        <w:t xml:space="preserve">    性别：     </w:t>
      </w:r>
      <w:r>
        <w:rPr>
          <w:rFonts w:hint="eastAsia"/>
          <w:color w:val="000000"/>
        </w:rPr>
        <w:tab/>
      </w:r>
      <w:r>
        <w:rPr>
          <w:rFonts w:hint="eastAsia"/>
          <w:color w:val="000000"/>
        </w:rPr>
        <w:t xml:space="preserve">    年龄： </w:t>
      </w:r>
      <w:r>
        <w:rPr>
          <w:rFonts w:hint="eastAsia"/>
          <w:color w:val="000000"/>
        </w:rPr>
        <w:tab/>
      </w:r>
      <w:r>
        <w:rPr>
          <w:rFonts w:hint="eastAsia"/>
          <w:color w:val="000000"/>
        </w:rPr>
        <w:t xml:space="preserve">         职务： </w:t>
      </w:r>
    </w:p>
    <w:p>
      <w:pPr>
        <w:spacing w:line="480" w:lineRule="auto"/>
        <w:ind w:left="660" w:leftChars="300"/>
        <w:rPr>
          <w:rFonts w:hint="eastAsia"/>
          <w:color w:val="000000"/>
        </w:rPr>
      </w:pPr>
      <w:r>
        <w:rPr>
          <w:rFonts w:hint="eastAsia"/>
          <w:color w:val="000000"/>
        </w:rPr>
        <w:t>系（投标人名称）的法定代表人。</w:t>
      </w:r>
    </w:p>
    <w:p>
      <w:pPr>
        <w:spacing w:line="480" w:lineRule="auto"/>
        <w:ind w:left="660" w:leftChars="300"/>
        <w:rPr>
          <w:rFonts w:hint="eastAsia"/>
          <w:color w:val="000000"/>
        </w:rPr>
      </w:pPr>
      <w:r>
        <w:rPr>
          <w:rFonts w:hint="eastAsia"/>
          <w:color w:val="000000"/>
        </w:rPr>
        <w:t>特此证明。</w:t>
      </w:r>
    </w:p>
    <w:p>
      <w:pPr>
        <w:spacing w:line="480" w:lineRule="auto"/>
        <w:ind w:left="660" w:leftChars="300"/>
        <w:rPr>
          <w:rFonts w:hint="eastAsia"/>
          <w:color w:val="000000"/>
        </w:rPr>
      </w:pPr>
      <w:r>
        <w:rPr>
          <w:rFonts w:hint="eastAsia"/>
          <w:color w:val="000000"/>
        </w:rPr>
        <w:t>附：法定代表人身份证复印件并加盖单位公章。</w:t>
      </w:r>
    </w:p>
    <w:p>
      <w:pPr>
        <w:spacing w:line="480" w:lineRule="auto"/>
        <w:ind w:left="660" w:leftChars="300"/>
        <w:rPr>
          <w:rFonts w:hint="eastAsia"/>
          <w:color w:val="000000"/>
        </w:rPr>
      </w:pPr>
      <w:r>
        <w:rPr>
          <w:rFonts w:hint="eastAsia"/>
          <w:color w:val="000000"/>
        </w:rPr>
        <w:t xml:space="preserve">投标人：（盖单位章） </w:t>
      </w:r>
    </w:p>
    <w:p>
      <w:pPr>
        <w:spacing w:line="480" w:lineRule="auto"/>
        <w:ind w:left="660" w:leftChars="300"/>
        <w:rPr>
          <w:rFonts w:hint="eastAsia"/>
          <w:color w:val="000000"/>
        </w:rPr>
      </w:pPr>
      <w:r>
        <w:rPr>
          <w:rFonts w:hint="eastAsia"/>
          <w:color w:val="000000"/>
        </w:rPr>
        <w:t>日期：        年         月       日</w:t>
      </w:r>
    </w:p>
    <w:p>
      <w:pPr>
        <w:spacing w:line="480" w:lineRule="auto"/>
        <w:ind w:left="660" w:leftChars="300"/>
        <w:rPr>
          <w:rFonts w:hint="eastAsia"/>
          <w:color w:val="000000"/>
        </w:rPr>
      </w:pPr>
    </w:p>
    <w:p>
      <w:pPr>
        <w:spacing w:line="480" w:lineRule="auto"/>
        <w:ind w:left="660" w:leftChars="300"/>
        <w:rPr>
          <w:rFonts w:hint="eastAsia"/>
          <w:color w:val="000000"/>
        </w:rPr>
      </w:pPr>
      <w:r>
        <w:rPr>
          <w:rFonts w:hint="eastAsia"/>
          <w:color w:val="000000"/>
        </w:rPr>
        <w:t>注：</w:t>
      </w:r>
    </w:p>
    <w:p>
      <w:pPr>
        <w:keepNext w:val="0"/>
        <w:keepLines w:val="0"/>
        <w:pageBreakBefore w:val="0"/>
        <w:widowControl/>
        <w:kinsoku/>
        <w:wordWrap/>
        <w:overflowPunct/>
        <w:topLinePunct w:val="0"/>
        <w:autoSpaceDE/>
        <w:autoSpaceDN/>
        <w:bidi w:val="0"/>
        <w:adjustRightInd/>
        <w:snapToGrid/>
        <w:spacing w:line="480" w:lineRule="auto"/>
        <w:ind w:left="0" w:leftChars="0"/>
        <w:textAlignment w:val="auto"/>
        <w:rPr>
          <w:rFonts w:hint="eastAsia"/>
          <w:color w:val="000000"/>
        </w:rPr>
      </w:pPr>
      <w:r>
        <w:rPr>
          <w:rFonts w:hint="eastAsia"/>
          <w:color w:val="000000"/>
        </w:rPr>
        <w:t>1．如果投标文件全部由法定代表人本人签署，则应按此格式提交法定代表人证明书。</w:t>
      </w:r>
    </w:p>
    <w:p>
      <w:pPr>
        <w:keepNext w:val="0"/>
        <w:keepLines w:val="0"/>
        <w:pageBreakBefore w:val="0"/>
        <w:widowControl/>
        <w:kinsoku/>
        <w:wordWrap/>
        <w:overflowPunct/>
        <w:topLinePunct w:val="0"/>
        <w:autoSpaceDE/>
        <w:autoSpaceDN/>
        <w:bidi w:val="0"/>
        <w:adjustRightInd/>
        <w:snapToGrid/>
        <w:spacing w:line="480" w:lineRule="auto"/>
        <w:ind w:left="0" w:leftChars="0"/>
        <w:textAlignment w:val="auto"/>
        <w:rPr>
          <w:rFonts w:hint="eastAsia"/>
          <w:color w:val="000000"/>
        </w:rPr>
      </w:pPr>
      <w:r>
        <w:rPr>
          <w:rFonts w:hint="eastAsia"/>
          <w:color w:val="000000"/>
        </w:rPr>
        <w:t>2．投标人还需提供法定代表人的身份证复印件。</w:t>
      </w:r>
    </w:p>
    <w:p>
      <w:pPr>
        <w:keepNext w:val="0"/>
        <w:keepLines w:val="0"/>
        <w:pageBreakBefore w:val="0"/>
        <w:widowControl/>
        <w:kinsoku/>
        <w:wordWrap/>
        <w:overflowPunct/>
        <w:topLinePunct w:val="0"/>
        <w:autoSpaceDE/>
        <w:autoSpaceDN/>
        <w:bidi w:val="0"/>
        <w:adjustRightInd/>
        <w:snapToGrid/>
        <w:spacing w:line="480" w:lineRule="auto"/>
        <w:ind w:left="0" w:leftChars="0"/>
        <w:textAlignment w:val="auto"/>
        <w:rPr>
          <w:rFonts w:hint="eastAsia"/>
          <w:color w:val="000000"/>
        </w:rPr>
      </w:pPr>
      <w:r>
        <w:rPr>
          <w:rFonts w:hint="eastAsia"/>
          <w:color w:val="000000"/>
        </w:rPr>
        <w:t>3.如果由被授权代理人签署投标文件，投标人应将此证明书附于授权书之后。</w:t>
      </w:r>
    </w:p>
    <w:p>
      <w:pPr>
        <w:spacing w:line="480" w:lineRule="auto"/>
        <w:rPr>
          <w:rFonts w:hint="eastAsia"/>
          <w:color w:val="000000"/>
        </w:rPr>
      </w:pPr>
    </w:p>
    <w:p>
      <w:pPr>
        <w:spacing w:before="55" w:beforeLines="0" w:line="480" w:lineRule="auto"/>
        <w:jc w:val="both"/>
        <w:rPr>
          <w:rFonts w:hint="eastAsia" w:ascii="宋体" w:hAnsi="宋体" w:cs="宋体"/>
          <w:color w:val="000000"/>
          <w:sz w:val="32"/>
        </w:rPr>
      </w:pPr>
    </w:p>
    <w:p>
      <w:pPr>
        <w:spacing w:before="55" w:beforeLines="0"/>
        <w:jc w:val="center"/>
        <w:rPr>
          <w:rFonts w:hint="eastAsia" w:ascii="宋体" w:hAnsi="宋体" w:cs="宋体"/>
          <w:b/>
          <w:bCs/>
          <w:color w:val="000000"/>
          <w:sz w:val="36"/>
          <w:szCs w:val="36"/>
        </w:rPr>
      </w:pPr>
      <w:r>
        <w:rPr>
          <w:rFonts w:hint="eastAsia" w:ascii="宋体" w:hAnsi="宋体" w:cs="宋体"/>
          <w:color w:val="000000"/>
          <w:sz w:val="32"/>
        </w:rPr>
        <w:br w:type="page"/>
      </w:r>
      <w:r>
        <w:rPr>
          <w:rFonts w:hint="eastAsia" w:ascii="宋体" w:hAnsi="宋体" w:cs="宋体"/>
          <w:b/>
          <w:bCs/>
          <w:color w:val="000000"/>
          <w:sz w:val="36"/>
          <w:szCs w:val="36"/>
        </w:rPr>
        <w:t>四.授权委托书</w:t>
      </w:r>
    </w:p>
    <w:p>
      <w:pPr>
        <w:spacing w:before="55" w:beforeLines="0"/>
        <w:jc w:val="both"/>
        <w:rPr>
          <w:rFonts w:hint="eastAsia" w:ascii="宋体" w:hAnsi="宋体" w:cs="宋体"/>
          <w:color w:val="000000"/>
          <w:sz w:val="32"/>
        </w:rPr>
      </w:pPr>
    </w:p>
    <w:p>
      <w:pPr>
        <w:pStyle w:val="14"/>
        <w:spacing w:before="9" w:beforeLines="0"/>
        <w:rPr>
          <w:rFonts w:hint="eastAsia"/>
          <w:color w:val="000000"/>
          <w:sz w:val="25"/>
        </w:rPr>
      </w:pPr>
    </w:p>
    <w:p>
      <w:pPr>
        <w:spacing w:line="360" w:lineRule="auto"/>
        <w:ind w:firstLine="480" w:firstLineChars="200"/>
        <w:rPr>
          <w:rFonts w:hint="eastAsia"/>
          <w:color w:val="000000"/>
          <w:sz w:val="24"/>
          <w:szCs w:val="24"/>
        </w:rPr>
      </w:pPr>
      <w:r>
        <w:rPr>
          <w:rFonts w:hint="eastAsia"/>
          <w:color w:val="000000"/>
          <w:sz w:val="24"/>
          <w:szCs w:val="24"/>
        </w:rPr>
        <w:t>本人</w:t>
      </w:r>
      <w:r>
        <w:rPr>
          <w:rFonts w:hint="eastAsia"/>
          <w:color w:val="000000"/>
          <w:sz w:val="24"/>
          <w:szCs w:val="24"/>
          <w:u w:val="single"/>
        </w:rPr>
        <w:t>（姓名）</w:t>
      </w:r>
      <w:r>
        <w:rPr>
          <w:rFonts w:hint="eastAsia"/>
          <w:color w:val="000000"/>
          <w:sz w:val="24"/>
          <w:szCs w:val="24"/>
        </w:rPr>
        <w:t>系</w:t>
      </w:r>
      <w:r>
        <w:rPr>
          <w:rFonts w:hint="eastAsia"/>
          <w:color w:val="000000"/>
          <w:sz w:val="24"/>
          <w:szCs w:val="24"/>
          <w:u w:val="single"/>
        </w:rPr>
        <w:t>（投标人名称）</w:t>
      </w:r>
      <w:r>
        <w:rPr>
          <w:rFonts w:hint="eastAsia"/>
          <w:color w:val="000000"/>
          <w:sz w:val="24"/>
          <w:szCs w:val="24"/>
        </w:rPr>
        <w:t>的法定代表人，现委托</w:t>
      </w:r>
      <w:r>
        <w:rPr>
          <w:rFonts w:hint="eastAsia"/>
          <w:color w:val="000000"/>
          <w:sz w:val="24"/>
          <w:szCs w:val="24"/>
          <w:u w:val="single"/>
        </w:rPr>
        <w:t>（姓名）</w:t>
      </w:r>
      <w:r>
        <w:rPr>
          <w:rFonts w:hint="eastAsia"/>
          <w:color w:val="000000"/>
          <w:sz w:val="24"/>
          <w:szCs w:val="24"/>
        </w:rPr>
        <w:t>为我方代理人。</w:t>
      </w:r>
    </w:p>
    <w:p>
      <w:pPr>
        <w:spacing w:line="360" w:lineRule="auto"/>
        <w:ind w:firstLine="480" w:firstLineChars="200"/>
        <w:rPr>
          <w:rFonts w:hint="eastAsia"/>
          <w:color w:val="000000"/>
          <w:sz w:val="24"/>
          <w:szCs w:val="24"/>
        </w:rPr>
      </w:pPr>
      <w:r>
        <w:rPr>
          <w:rFonts w:hint="eastAsia"/>
          <w:color w:val="000000"/>
          <w:sz w:val="24"/>
          <w:szCs w:val="24"/>
        </w:rPr>
        <w:t>代理人根据授权，以我方名义签署、澄清、说明、补正、递交、撤回、修改</w:t>
      </w:r>
      <w:r>
        <w:rPr>
          <w:rFonts w:hint="eastAsia"/>
          <w:color w:val="000000"/>
          <w:sz w:val="24"/>
          <w:szCs w:val="24"/>
          <w:u w:val="single"/>
          <w:lang w:val="en-US" w:eastAsia="zh-CN"/>
        </w:rPr>
        <w:t xml:space="preserve">  </w:t>
      </w:r>
      <w:r>
        <w:rPr>
          <w:rFonts w:hint="eastAsia" w:cs="宋体"/>
          <w:b/>
          <w:bCs/>
          <w:color w:val="000000"/>
          <w:kern w:val="2"/>
          <w:sz w:val="24"/>
          <w:szCs w:val="24"/>
          <w:u w:val="single"/>
          <w:lang w:eastAsia="zh-CN"/>
        </w:rPr>
        <w:t>云安区生猪产业园—优质生猪标准化规模养殖基地项目</w:t>
      </w:r>
      <w:r>
        <w:rPr>
          <w:rFonts w:hint="eastAsia"/>
          <w:color w:val="000000"/>
          <w:sz w:val="24"/>
          <w:szCs w:val="24"/>
        </w:rPr>
        <w:t>投标文件、签订合同和处理有关事宜，其法律后果由我方承担。</w:t>
      </w:r>
    </w:p>
    <w:p>
      <w:pPr>
        <w:spacing w:line="360" w:lineRule="auto"/>
        <w:ind w:firstLine="480" w:firstLineChars="200"/>
        <w:rPr>
          <w:rFonts w:hint="eastAsia"/>
          <w:color w:val="000000"/>
          <w:sz w:val="24"/>
          <w:szCs w:val="24"/>
        </w:rPr>
      </w:pPr>
      <w:r>
        <w:rPr>
          <w:rFonts w:hint="eastAsia"/>
          <w:color w:val="000000"/>
          <w:sz w:val="24"/>
          <w:szCs w:val="24"/>
        </w:rPr>
        <w:t>委托期限：自本委托书签署之日起至投标有效期期满。</w:t>
      </w:r>
    </w:p>
    <w:p>
      <w:pPr>
        <w:spacing w:line="360" w:lineRule="auto"/>
        <w:ind w:firstLine="480" w:firstLineChars="200"/>
        <w:rPr>
          <w:rFonts w:hint="eastAsia"/>
          <w:color w:val="000000"/>
          <w:sz w:val="24"/>
          <w:szCs w:val="24"/>
        </w:rPr>
      </w:pPr>
      <w:r>
        <w:rPr>
          <w:rFonts w:hint="eastAsia"/>
          <w:color w:val="000000"/>
          <w:sz w:val="24"/>
          <w:szCs w:val="24"/>
        </w:rPr>
        <w:t>代理人无转委托权。</w:t>
      </w:r>
    </w:p>
    <w:p>
      <w:pPr>
        <w:spacing w:line="360" w:lineRule="auto"/>
        <w:ind w:firstLine="480" w:firstLineChars="200"/>
        <w:rPr>
          <w:rFonts w:hint="eastAsia"/>
          <w:color w:val="000000"/>
          <w:sz w:val="24"/>
          <w:szCs w:val="24"/>
        </w:rPr>
      </w:pPr>
    </w:p>
    <w:p>
      <w:pPr>
        <w:spacing w:line="360" w:lineRule="auto"/>
        <w:ind w:firstLine="480" w:firstLineChars="200"/>
        <w:rPr>
          <w:rFonts w:hint="eastAsia"/>
          <w:color w:val="000000"/>
          <w:sz w:val="24"/>
          <w:szCs w:val="24"/>
        </w:rPr>
      </w:pPr>
    </w:p>
    <w:p>
      <w:pPr>
        <w:spacing w:line="360" w:lineRule="auto"/>
        <w:ind w:firstLine="480" w:firstLineChars="200"/>
        <w:rPr>
          <w:rFonts w:hint="eastAsia"/>
          <w:color w:val="000000"/>
          <w:sz w:val="24"/>
          <w:szCs w:val="24"/>
        </w:rPr>
      </w:pPr>
    </w:p>
    <w:p>
      <w:pPr>
        <w:spacing w:line="360" w:lineRule="auto"/>
        <w:ind w:firstLine="480" w:firstLineChars="200"/>
        <w:rPr>
          <w:rFonts w:hint="eastAsia"/>
          <w:color w:val="000000"/>
          <w:sz w:val="24"/>
          <w:szCs w:val="24"/>
        </w:rPr>
      </w:pPr>
    </w:p>
    <w:p>
      <w:pPr>
        <w:spacing w:line="360" w:lineRule="auto"/>
        <w:ind w:firstLine="480" w:firstLineChars="200"/>
        <w:rPr>
          <w:rFonts w:hint="eastAsia" w:eastAsia="宋体"/>
          <w:color w:val="000000"/>
          <w:sz w:val="24"/>
          <w:szCs w:val="24"/>
          <w:lang w:val="en-US" w:eastAsia="zh-CN"/>
        </w:rPr>
      </w:pPr>
      <w:r>
        <w:rPr>
          <w:rFonts w:hint="eastAsia"/>
          <w:color w:val="000000"/>
          <w:sz w:val="24"/>
          <w:szCs w:val="24"/>
          <w:lang w:val="en-US" w:eastAsia="zh-CN"/>
        </w:rPr>
        <w:t xml:space="preserve"> </w:t>
      </w:r>
    </w:p>
    <w:p>
      <w:pPr>
        <w:spacing w:line="360" w:lineRule="auto"/>
        <w:ind w:firstLine="480" w:firstLineChars="200"/>
        <w:rPr>
          <w:rFonts w:hint="eastAsia"/>
          <w:color w:val="000000"/>
          <w:sz w:val="24"/>
          <w:szCs w:val="24"/>
        </w:rPr>
      </w:pPr>
      <w:r>
        <w:rPr>
          <w:rFonts w:hint="eastAsia"/>
          <w:color w:val="000000"/>
          <w:sz w:val="24"/>
          <w:szCs w:val="24"/>
        </w:rPr>
        <w:t>投标人：</w:t>
      </w:r>
      <w:r>
        <w:rPr>
          <w:rFonts w:hint="eastAsia"/>
          <w:color w:val="000000"/>
          <w:sz w:val="24"/>
          <w:szCs w:val="24"/>
          <w:u w:val="single"/>
        </w:rPr>
        <w:t xml:space="preserve">                              </w:t>
      </w:r>
      <w:r>
        <w:rPr>
          <w:rFonts w:hint="eastAsia"/>
          <w:color w:val="000000"/>
          <w:sz w:val="24"/>
          <w:szCs w:val="24"/>
        </w:rPr>
        <w:t>（盖单位章）</w:t>
      </w:r>
    </w:p>
    <w:p>
      <w:pPr>
        <w:spacing w:line="360" w:lineRule="auto"/>
        <w:ind w:firstLine="480" w:firstLineChars="200"/>
        <w:rPr>
          <w:rFonts w:hint="eastAsia"/>
          <w:color w:val="000000"/>
          <w:sz w:val="24"/>
          <w:szCs w:val="24"/>
        </w:rPr>
      </w:pPr>
      <w:r>
        <w:rPr>
          <w:rFonts w:hint="eastAsia"/>
          <w:color w:val="000000"/>
          <w:sz w:val="24"/>
          <w:szCs w:val="24"/>
        </w:rPr>
        <w:t>法定代表人：</w:t>
      </w:r>
      <w:r>
        <w:rPr>
          <w:rFonts w:hint="eastAsia"/>
          <w:color w:val="000000"/>
          <w:sz w:val="24"/>
          <w:szCs w:val="24"/>
          <w:u w:val="single"/>
        </w:rPr>
        <w:t xml:space="preserve">                              </w:t>
      </w:r>
      <w:r>
        <w:rPr>
          <w:rFonts w:hint="eastAsia"/>
          <w:color w:val="000000"/>
          <w:sz w:val="24"/>
          <w:szCs w:val="24"/>
        </w:rPr>
        <w:t>（签名或盖章）</w:t>
      </w:r>
    </w:p>
    <w:p>
      <w:pPr>
        <w:spacing w:line="360" w:lineRule="auto"/>
        <w:ind w:firstLine="480" w:firstLineChars="200"/>
        <w:rPr>
          <w:rFonts w:hint="eastAsia"/>
          <w:color w:val="000000"/>
          <w:sz w:val="24"/>
          <w:szCs w:val="24"/>
          <w:u w:val="single"/>
        </w:rPr>
      </w:pPr>
      <w:r>
        <w:rPr>
          <w:rFonts w:hint="eastAsia"/>
          <w:color w:val="000000"/>
          <w:sz w:val="24"/>
          <w:szCs w:val="24"/>
        </w:rPr>
        <w:t>身份证号码：</w:t>
      </w:r>
      <w:r>
        <w:rPr>
          <w:rFonts w:hint="eastAsia"/>
          <w:color w:val="000000"/>
          <w:sz w:val="24"/>
          <w:szCs w:val="24"/>
          <w:u w:val="single"/>
        </w:rPr>
        <w:t xml:space="preserve">                            .  </w:t>
      </w:r>
    </w:p>
    <w:p>
      <w:pPr>
        <w:spacing w:line="360" w:lineRule="auto"/>
        <w:ind w:firstLine="480" w:firstLineChars="200"/>
        <w:rPr>
          <w:rFonts w:hint="eastAsia"/>
          <w:color w:val="000000"/>
          <w:sz w:val="24"/>
          <w:szCs w:val="24"/>
        </w:rPr>
      </w:pPr>
      <w:r>
        <w:rPr>
          <w:rFonts w:hint="eastAsia"/>
          <w:color w:val="000000"/>
          <w:sz w:val="24"/>
          <w:szCs w:val="24"/>
        </w:rPr>
        <w:t>委托代理人：</w:t>
      </w:r>
      <w:r>
        <w:rPr>
          <w:rFonts w:hint="eastAsia"/>
          <w:color w:val="000000"/>
          <w:sz w:val="24"/>
          <w:szCs w:val="24"/>
          <w:u w:val="single"/>
        </w:rPr>
        <w:t xml:space="preserve">                              </w:t>
      </w:r>
      <w:r>
        <w:rPr>
          <w:rFonts w:hint="eastAsia"/>
          <w:color w:val="000000"/>
          <w:sz w:val="24"/>
          <w:szCs w:val="24"/>
        </w:rPr>
        <w:t xml:space="preserve">（签名或盖章） </w:t>
      </w:r>
    </w:p>
    <w:p>
      <w:pPr>
        <w:spacing w:line="360" w:lineRule="auto"/>
        <w:ind w:firstLine="480" w:firstLineChars="200"/>
        <w:rPr>
          <w:color w:val="000000"/>
          <w:sz w:val="24"/>
          <w:szCs w:val="24"/>
        </w:rPr>
      </w:pPr>
      <w:r>
        <w:rPr>
          <w:rFonts w:hint="eastAsia"/>
          <w:color w:val="000000"/>
          <w:sz w:val="24"/>
          <w:szCs w:val="24"/>
        </w:rPr>
        <w:t>身份证号码：</w:t>
      </w:r>
      <w:r>
        <w:rPr>
          <w:rFonts w:hint="eastAsia"/>
          <w:color w:val="000000"/>
          <w:sz w:val="24"/>
          <w:szCs w:val="24"/>
          <w:u w:val="single"/>
        </w:rPr>
        <w:t xml:space="preserve">                              .</w:t>
      </w:r>
    </w:p>
    <w:p>
      <w:pPr>
        <w:spacing w:line="360" w:lineRule="auto"/>
        <w:ind w:firstLine="480" w:firstLineChars="200"/>
        <w:rPr>
          <w:rFonts w:hint="eastAsia"/>
          <w:color w:val="000000"/>
          <w:sz w:val="24"/>
          <w:szCs w:val="24"/>
          <w:u w:val="single"/>
        </w:rPr>
      </w:pPr>
      <w:r>
        <w:rPr>
          <w:rFonts w:hint="eastAsia"/>
          <w:color w:val="000000"/>
          <w:sz w:val="24"/>
          <w:szCs w:val="24"/>
        </w:rPr>
        <w:t>日期：</w:t>
      </w:r>
      <w:r>
        <w:rPr>
          <w:rFonts w:hint="eastAsia"/>
          <w:color w:val="000000"/>
          <w:sz w:val="24"/>
          <w:szCs w:val="24"/>
          <w:u w:val="single"/>
        </w:rPr>
        <w:t xml:space="preserve">     年     月     日</w:t>
      </w:r>
    </w:p>
    <w:p>
      <w:pPr>
        <w:spacing w:line="360" w:lineRule="auto"/>
        <w:ind w:firstLine="480" w:firstLineChars="200"/>
        <w:rPr>
          <w:rFonts w:hint="eastAsia"/>
          <w:color w:val="000000"/>
          <w:sz w:val="24"/>
          <w:szCs w:val="24"/>
        </w:rPr>
      </w:pPr>
    </w:p>
    <w:p>
      <w:pPr>
        <w:spacing w:line="360" w:lineRule="auto"/>
        <w:ind w:firstLine="480" w:firstLineChars="200"/>
        <w:rPr>
          <w:rFonts w:hint="eastAsia"/>
          <w:color w:val="000000"/>
          <w:sz w:val="24"/>
          <w:szCs w:val="24"/>
        </w:rPr>
      </w:pPr>
      <w:r>
        <w:rPr>
          <w:rFonts w:hint="eastAsia"/>
          <w:color w:val="000000"/>
          <w:sz w:val="24"/>
          <w:szCs w:val="24"/>
        </w:rPr>
        <w:t>附：代理人身份证复印件并加盖公章。</w:t>
      </w:r>
    </w:p>
    <w:p>
      <w:pPr>
        <w:spacing w:line="360" w:lineRule="auto"/>
        <w:ind w:firstLine="480" w:firstLineChars="200"/>
        <w:rPr>
          <w:rFonts w:hint="eastAsia"/>
          <w:color w:val="000000"/>
          <w:sz w:val="24"/>
          <w:szCs w:val="24"/>
        </w:rPr>
      </w:pPr>
      <w:r>
        <w:rPr>
          <w:rFonts w:hint="eastAsia"/>
          <w:color w:val="000000"/>
          <w:sz w:val="24"/>
          <w:szCs w:val="24"/>
        </w:rPr>
        <w:t>注：</w:t>
      </w:r>
    </w:p>
    <w:p>
      <w:pPr>
        <w:spacing w:line="360" w:lineRule="auto"/>
        <w:ind w:firstLine="480" w:firstLineChars="200"/>
        <w:rPr>
          <w:rFonts w:hint="eastAsia"/>
          <w:color w:val="000000"/>
          <w:sz w:val="24"/>
          <w:szCs w:val="24"/>
        </w:rPr>
      </w:pPr>
      <w:r>
        <w:rPr>
          <w:rFonts w:hint="eastAsia"/>
          <w:color w:val="000000"/>
          <w:sz w:val="24"/>
          <w:szCs w:val="24"/>
        </w:rPr>
        <w:t>1.法定代表人和委托代理人必须在授权书上亲笔签名或盖章；</w:t>
      </w:r>
    </w:p>
    <w:p>
      <w:pPr>
        <w:spacing w:line="360" w:lineRule="auto"/>
        <w:ind w:firstLine="480" w:firstLineChars="200"/>
        <w:rPr>
          <w:rFonts w:hint="eastAsia"/>
          <w:color w:val="000000"/>
          <w:sz w:val="24"/>
          <w:szCs w:val="24"/>
        </w:rPr>
      </w:pPr>
      <w:r>
        <w:rPr>
          <w:rFonts w:hint="eastAsia"/>
          <w:color w:val="000000"/>
          <w:sz w:val="24"/>
          <w:szCs w:val="24"/>
        </w:rPr>
        <w:t>2.如果投标文件由委托代理人签署，则投标人需提交附有法定代表人身份证明的授权委托书，授权委托书应按规定的书面方式出具，并由法定代表人和委托代理人亲笔签名或盖章。</w:t>
      </w:r>
    </w:p>
    <w:p>
      <w:pPr>
        <w:spacing w:line="360" w:lineRule="auto"/>
        <w:ind w:firstLine="480" w:firstLineChars="200"/>
        <w:rPr>
          <w:rFonts w:hint="eastAsia"/>
          <w:color w:val="000000"/>
          <w:sz w:val="24"/>
          <w:szCs w:val="24"/>
        </w:rPr>
      </w:pPr>
    </w:p>
    <w:p>
      <w:pPr>
        <w:spacing w:before="55" w:beforeLines="0" w:line="360" w:lineRule="auto"/>
        <w:ind w:right="572" w:rightChars="260"/>
        <w:jc w:val="center"/>
        <w:rPr>
          <w:rFonts w:hint="eastAsia"/>
          <w:b/>
          <w:bCs/>
          <w:color w:val="000000"/>
          <w:sz w:val="44"/>
          <w:szCs w:val="44"/>
        </w:rPr>
      </w:pPr>
      <w:r>
        <w:rPr>
          <w:rFonts w:hint="eastAsia" w:ascii="宋体" w:hAnsi="宋体" w:cs="宋体"/>
          <w:color w:val="000000"/>
          <w:sz w:val="32"/>
        </w:rPr>
        <w:br w:type="page"/>
      </w:r>
      <w:r>
        <w:rPr>
          <w:rFonts w:hint="eastAsia" w:ascii="宋体" w:hAnsi="宋体" w:cs="宋体"/>
          <w:b/>
          <w:bCs/>
          <w:color w:val="000000"/>
          <w:sz w:val="36"/>
          <w:szCs w:val="36"/>
          <w:lang w:val="en-US" w:eastAsia="zh-CN"/>
        </w:rPr>
        <w:t>五</w:t>
      </w:r>
      <w:r>
        <w:rPr>
          <w:rFonts w:hint="eastAsia" w:ascii="宋体" w:hAnsi="宋体" w:cs="宋体"/>
          <w:b/>
          <w:bCs/>
          <w:color w:val="000000"/>
          <w:sz w:val="36"/>
          <w:szCs w:val="36"/>
        </w:rPr>
        <w:t>、投标人声明</w:t>
      </w:r>
    </w:p>
    <w:p>
      <w:pPr>
        <w:pStyle w:val="14"/>
        <w:tabs>
          <w:tab w:val="left" w:pos="3970"/>
        </w:tabs>
        <w:spacing w:line="360" w:lineRule="auto"/>
        <w:rPr>
          <w:rFonts w:hint="eastAsia"/>
          <w:b/>
          <w:bCs/>
          <w:color w:val="000000"/>
          <w:spacing w:val="-14"/>
          <w:sz w:val="24"/>
          <w:szCs w:val="24"/>
          <w:u w:val="single"/>
        </w:rPr>
      </w:pPr>
      <w:r>
        <w:rPr>
          <w:rFonts w:hint="eastAsia"/>
          <w:b/>
          <w:bCs/>
          <w:color w:val="000000"/>
          <w:sz w:val="24"/>
          <w:szCs w:val="24"/>
        </w:rPr>
        <w:t>致：</w:t>
      </w:r>
      <w:r>
        <w:rPr>
          <w:rFonts w:hint="eastAsia"/>
          <w:b/>
          <w:bCs/>
          <w:color w:val="000000"/>
          <w:sz w:val="24"/>
          <w:szCs w:val="24"/>
          <w:u w:val="single"/>
        </w:rPr>
        <w:t xml:space="preserve"> </w:t>
      </w:r>
      <w:r>
        <w:rPr>
          <w:b/>
          <w:bCs/>
          <w:color w:val="000000"/>
          <w:sz w:val="24"/>
          <w:szCs w:val="24"/>
          <w:u w:val="single"/>
        </w:rPr>
        <w:t xml:space="preserve">                 </w:t>
      </w:r>
      <w:r>
        <w:rPr>
          <w:rFonts w:hint="eastAsia"/>
          <w:b/>
          <w:bCs/>
          <w:color w:val="000000"/>
          <w:spacing w:val="-3"/>
          <w:sz w:val="24"/>
          <w:szCs w:val="24"/>
          <w:u w:val="single"/>
        </w:rPr>
        <w:t>（</w:t>
      </w:r>
      <w:r>
        <w:rPr>
          <w:rFonts w:hint="eastAsia"/>
          <w:b/>
          <w:bCs/>
          <w:color w:val="000000"/>
          <w:sz w:val="24"/>
          <w:szCs w:val="24"/>
          <w:u w:val="single"/>
        </w:rPr>
        <w:t>招</w:t>
      </w:r>
      <w:r>
        <w:rPr>
          <w:rFonts w:hint="eastAsia"/>
          <w:b/>
          <w:bCs/>
          <w:color w:val="000000"/>
          <w:spacing w:val="-3"/>
          <w:sz w:val="24"/>
          <w:szCs w:val="24"/>
          <w:u w:val="single"/>
        </w:rPr>
        <w:t>标</w:t>
      </w:r>
      <w:r>
        <w:rPr>
          <w:rFonts w:hint="eastAsia"/>
          <w:b/>
          <w:bCs/>
          <w:color w:val="000000"/>
          <w:sz w:val="24"/>
          <w:szCs w:val="24"/>
          <w:u w:val="single"/>
        </w:rPr>
        <w:t>人</w:t>
      </w:r>
      <w:r>
        <w:rPr>
          <w:rFonts w:hint="eastAsia"/>
          <w:b/>
          <w:bCs/>
          <w:color w:val="000000"/>
          <w:spacing w:val="-14"/>
          <w:sz w:val="24"/>
          <w:szCs w:val="24"/>
          <w:u w:val="single"/>
        </w:rPr>
        <w:t xml:space="preserve">） </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本公司就参加投标工作，作出郑重声明：</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一、本单位保证投标报名材料及其后提供的一切材料都是真实的。</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二、本单位保证在本项目投标中不与其他单位围标、串标，不出让投标资格，不向招标人或评标委员会成员行贿。</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三、本单位近三年（自招标公告发布之日上溯）没有下列情形之一：</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1.被责令停业；</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2.财产被接管或冻结，破产状态；</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3.处于被取消或暂停投标资格的处罚期内，或被纳入不诚信投标企业名单；</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color w:val="000000"/>
        </w:rPr>
        <w:t>4.投标人相互串通投标或者与招标人串通投标；</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5.以行贿谋取中标，或以他人名义投标或者以其他方式弄虚作假骗取中标；</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6.捏造事实、伪造证明材料投诉；</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7.无故放弃中标的；</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8.发生较大以上质量安全事故，或一年内发生两起一般安全生产事故；</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9.超越本单位资质等级许可的业务范围承揽工程，或违法转包、分包工程，或允许其他单位或个人以本单位名义承揽工程（违规转让《建筑企业资质证书》）；</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10.由于本单位原因，拖欠分包单位工程款或材料供应单位材料款，引发集体上访或聚众闹事；拖欠和克扣劳务人员工资，发生拖欠农民工工资，引发农民工集体上访或聚众闹事；</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四、保证参加投标的项目负责人没有在其他在建工程中担任项目负责人，否则在资格审查时发现或中标后有投诉被查实，视为故意隐瞒事实、弄虚作假。</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五、本单位声明不存在招标文件投标须知</w:t>
      </w:r>
      <w:r>
        <w:rPr>
          <w:rFonts w:hint="eastAsia"/>
          <w:b/>
          <w:bCs/>
          <w:color w:val="auto"/>
        </w:rPr>
        <w:t>第1.4.</w:t>
      </w:r>
      <w:r>
        <w:rPr>
          <w:rFonts w:hint="eastAsia"/>
          <w:b/>
          <w:bCs/>
          <w:color w:val="auto"/>
          <w:lang w:val="en-US" w:eastAsia="zh-CN"/>
        </w:rPr>
        <w:t>3</w:t>
      </w:r>
      <w:r>
        <w:rPr>
          <w:rFonts w:hint="eastAsia"/>
          <w:b/>
          <w:bCs/>
          <w:color w:val="auto"/>
        </w:rPr>
        <w:t>条所述</w:t>
      </w:r>
      <w:r>
        <w:rPr>
          <w:rFonts w:hint="eastAsia"/>
          <w:color w:val="auto"/>
        </w:rPr>
        <w:t>情形。</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以上内容本人已仔细阅读，本单位如违反上述承诺内容，愿意承担以下后果：</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(1)取消本单位在本项目中的投标资格或中标资格；</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(2)没收本单位在本项目中的投标担保金；</w:t>
      </w:r>
    </w:p>
    <w:p>
      <w:pPr>
        <w:pStyle w:val="14"/>
        <w:keepNext w:val="0"/>
        <w:keepLines w:val="0"/>
        <w:pageBreakBefore w:val="0"/>
        <w:widowControl/>
        <w:tabs>
          <w:tab w:val="left" w:pos="397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2"/>
          <w:szCs w:val="22"/>
        </w:rPr>
      </w:pPr>
      <w:r>
        <w:rPr>
          <w:rFonts w:hint="eastAsia"/>
          <w:color w:val="auto"/>
        </w:rPr>
        <w:t>(3)同意将本单位纳入不诚信投标企业名单。</w:t>
      </w:r>
    </w:p>
    <w:p>
      <w:pPr>
        <w:keepNext w:val="0"/>
        <w:keepLines w:val="0"/>
        <w:pageBreakBefore w:val="0"/>
        <w:widowControl/>
        <w:kinsoku/>
        <w:wordWrap/>
        <w:overflowPunct/>
        <w:topLinePunct w:val="0"/>
        <w:autoSpaceDE/>
        <w:autoSpaceDN/>
        <w:bidi w:val="0"/>
        <w:adjustRightInd/>
        <w:snapToGrid/>
        <w:spacing w:line="240" w:lineRule="auto"/>
        <w:ind w:right="0" w:rightChars="0" w:firstLine="3520" w:firstLineChars="1600"/>
        <w:textAlignment w:val="auto"/>
        <w:rPr>
          <w:rFonts w:hint="eastAsia" w:ascii="宋体" w:hAnsi="宋体" w:cs="宋体"/>
          <w:color w:val="000000"/>
          <w:sz w:val="22"/>
          <w:szCs w:val="22"/>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3520" w:firstLineChars="1600"/>
        <w:textAlignment w:val="auto"/>
        <w:rPr>
          <w:rFonts w:hint="eastAsia" w:ascii="宋体" w:hAnsi="宋体" w:cs="宋体"/>
          <w:color w:val="000000"/>
          <w:sz w:val="22"/>
          <w:szCs w:val="22"/>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3520" w:firstLineChars="1600"/>
        <w:textAlignment w:val="auto"/>
        <w:rPr>
          <w:rFonts w:hint="eastAsia" w:ascii="宋体" w:hAnsi="宋体" w:cs="宋体"/>
          <w:color w:val="000000"/>
          <w:sz w:val="22"/>
          <w:szCs w:val="22"/>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3520" w:firstLineChars="1600"/>
        <w:textAlignment w:val="auto"/>
        <w:rPr>
          <w:rFonts w:hint="eastAsia" w:ascii="宋体" w:hAnsi="宋体" w:cs="宋体"/>
          <w:color w:val="000000"/>
          <w:sz w:val="22"/>
          <w:szCs w:val="22"/>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3520" w:firstLineChars="1600"/>
        <w:textAlignment w:val="auto"/>
        <w:rPr>
          <w:rFonts w:hint="eastAsia" w:ascii="宋体" w:hAnsi="宋体" w:cs="宋体"/>
          <w:color w:val="000000"/>
          <w:sz w:val="22"/>
          <w:szCs w:val="22"/>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3520" w:firstLineChars="1600"/>
        <w:textAlignment w:val="auto"/>
        <w:rPr>
          <w:rFonts w:hint="eastAsia" w:ascii="宋体" w:hAnsi="宋体" w:cs="宋体"/>
          <w:color w:val="000000"/>
          <w:sz w:val="22"/>
          <w:szCs w:val="22"/>
        </w:rPr>
      </w:pPr>
      <w:r>
        <w:rPr>
          <w:rFonts w:hint="eastAsia" w:ascii="宋体" w:hAnsi="宋体" w:cs="宋体"/>
          <w:color w:val="000000"/>
          <w:sz w:val="22"/>
          <w:szCs w:val="22"/>
        </w:rPr>
        <w:t xml:space="preserve">投标人： </w:t>
      </w:r>
      <w:r>
        <w:rPr>
          <w:rFonts w:ascii="宋体" w:hAnsi="宋体" w:cs="宋体"/>
          <w:color w:val="000000"/>
          <w:sz w:val="22"/>
          <w:szCs w:val="22"/>
        </w:rPr>
        <w:t xml:space="preserve">        </w:t>
      </w:r>
      <w:r>
        <w:rPr>
          <w:rFonts w:hint="eastAsia" w:ascii="宋体" w:hAnsi="宋体" w:cs="宋体"/>
          <w:color w:val="000000"/>
          <w:sz w:val="22"/>
          <w:szCs w:val="22"/>
        </w:rPr>
        <w:t>（盖公章）</w:t>
      </w:r>
    </w:p>
    <w:p>
      <w:pPr>
        <w:pStyle w:val="14"/>
        <w:keepNext w:val="0"/>
        <w:keepLines w:val="0"/>
        <w:pageBreakBefore w:val="0"/>
        <w:widowControl/>
        <w:tabs>
          <w:tab w:val="left" w:pos="6807"/>
        </w:tabs>
        <w:kinsoku/>
        <w:wordWrap/>
        <w:overflowPunct/>
        <w:topLinePunct w:val="0"/>
        <w:autoSpaceDE/>
        <w:autoSpaceDN/>
        <w:bidi w:val="0"/>
        <w:adjustRightInd/>
        <w:snapToGrid/>
        <w:spacing w:line="240" w:lineRule="auto"/>
        <w:ind w:right="0" w:rightChars="0" w:firstLine="3520" w:firstLineChars="1600"/>
        <w:textAlignment w:val="auto"/>
        <w:rPr>
          <w:rFonts w:hint="eastAsia"/>
          <w:color w:val="000000"/>
          <w:spacing w:val="-15"/>
          <w:sz w:val="22"/>
          <w:szCs w:val="22"/>
        </w:rPr>
      </w:pPr>
      <w:r>
        <w:rPr>
          <w:rFonts w:hint="eastAsia"/>
          <w:color w:val="000000"/>
          <w:sz w:val="22"/>
          <w:szCs w:val="22"/>
        </w:rPr>
        <w:t>法定</w:t>
      </w:r>
      <w:r>
        <w:rPr>
          <w:rFonts w:hint="eastAsia"/>
          <w:color w:val="000000"/>
          <w:spacing w:val="-3"/>
          <w:sz w:val="22"/>
          <w:szCs w:val="22"/>
        </w:rPr>
        <w:t>代</w:t>
      </w:r>
      <w:r>
        <w:rPr>
          <w:rFonts w:hint="eastAsia"/>
          <w:color w:val="000000"/>
          <w:sz w:val="22"/>
          <w:szCs w:val="22"/>
        </w:rPr>
        <w:t>表</w:t>
      </w:r>
      <w:r>
        <w:rPr>
          <w:rFonts w:hint="eastAsia"/>
          <w:color w:val="000000"/>
          <w:spacing w:val="-3"/>
          <w:sz w:val="22"/>
          <w:szCs w:val="22"/>
        </w:rPr>
        <w:t>人</w:t>
      </w:r>
      <w:r>
        <w:rPr>
          <w:rFonts w:hint="eastAsia"/>
          <w:color w:val="000000"/>
          <w:sz w:val="22"/>
          <w:szCs w:val="22"/>
        </w:rPr>
        <w:t>（</w:t>
      </w:r>
      <w:r>
        <w:rPr>
          <w:rFonts w:hint="eastAsia"/>
          <w:color w:val="000000"/>
          <w:spacing w:val="-3"/>
          <w:sz w:val="22"/>
          <w:szCs w:val="22"/>
        </w:rPr>
        <w:t>或</w:t>
      </w:r>
      <w:r>
        <w:rPr>
          <w:rFonts w:hint="eastAsia"/>
          <w:color w:val="000000"/>
          <w:sz w:val="22"/>
          <w:szCs w:val="22"/>
        </w:rPr>
        <w:t>授</w:t>
      </w:r>
      <w:r>
        <w:rPr>
          <w:rFonts w:hint="eastAsia"/>
          <w:color w:val="000000"/>
          <w:spacing w:val="-3"/>
          <w:sz w:val="22"/>
          <w:szCs w:val="22"/>
        </w:rPr>
        <w:t>权</w:t>
      </w:r>
      <w:r>
        <w:rPr>
          <w:rFonts w:hint="eastAsia"/>
          <w:color w:val="000000"/>
          <w:sz w:val="22"/>
          <w:szCs w:val="22"/>
        </w:rPr>
        <w:t>代</w:t>
      </w:r>
      <w:r>
        <w:rPr>
          <w:rFonts w:hint="eastAsia"/>
          <w:color w:val="000000"/>
          <w:spacing w:val="-3"/>
          <w:sz w:val="22"/>
          <w:szCs w:val="22"/>
        </w:rPr>
        <w:t>理</w:t>
      </w:r>
      <w:r>
        <w:rPr>
          <w:rFonts w:hint="eastAsia"/>
          <w:color w:val="000000"/>
          <w:sz w:val="22"/>
          <w:szCs w:val="22"/>
        </w:rPr>
        <w:t xml:space="preserve">人）： </w:t>
      </w:r>
      <w:r>
        <w:rPr>
          <w:color w:val="000000"/>
          <w:sz w:val="22"/>
          <w:szCs w:val="22"/>
        </w:rPr>
        <w:t xml:space="preserve">     </w:t>
      </w:r>
      <w:r>
        <w:rPr>
          <w:rFonts w:hint="eastAsia"/>
          <w:color w:val="000000"/>
          <w:spacing w:val="-3"/>
          <w:sz w:val="22"/>
          <w:szCs w:val="22"/>
        </w:rPr>
        <w:t>（</w:t>
      </w:r>
      <w:r>
        <w:rPr>
          <w:rFonts w:hint="eastAsia"/>
          <w:color w:val="000000"/>
          <w:sz w:val="22"/>
          <w:szCs w:val="22"/>
        </w:rPr>
        <w:t>签</w:t>
      </w:r>
      <w:r>
        <w:rPr>
          <w:rFonts w:hint="eastAsia"/>
          <w:color w:val="000000"/>
          <w:spacing w:val="-3"/>
          <w:sz w:val="22"/>
          <w:szCs w:val="22"/>
        </w:rPr>
        <w:t>名或</w:t>
      </w:r>
      <w:r>
        <w:rPr>
          <w:rFonts w:hint="eastAsia"/>
          <w:color w:val="000000"/>
          <w:sz w:val="22"/>
          <w:szCs w:val="22"/>
        </w:rPr>
        <w:t>盖章</w:t>
      </w:r>
      <w:r>
        <w:rPr>
          <w:rFonts w:hint="eastAsia"/>
          <w:color w:val="000000"/>
          <w:spacing w:val="-15"/>
          <w:sz w:val="22"/>
          <w:szCs w:val="22"/>
        </w:rPr>
        <w:t>）</w:t>
      </w:r>
    </w:p>
    <w:p>
      <w:pPr>
        <w:pStyle w:val="28"/>
        <w:keepNext w:val="0"/>
        <w:keepLines w:val="0"/>
        <w:pageBreakBefore w:val="0"/>
        <w:widowControl/>
        <w:tabs>
          <w:tab w:val="left" w:pos="1768"/>
        </w:tabs>
        <w:kinsoku/>
        <w:wordWrap/>
        <w:overflowPunct/>
        <w:topLinePunct w:val="0"/>
        <w:autoSpaceDE/>
        <w:autoSpaceDN/>
        <w:bidi w:val="0"/>
        <w:adjustRightInd/>
        <w:snapToGrid/>
        <w:spacing w:line="240" w:lineRule="auto"/>
        <w:ind w:right="0" w:rightChars="0" w:firstLine="3638" w:firstLineChars="1700"/>
        <w:textAlignment w:val="auto"/>
        <w:rPr>
          <w:rFonts w:hint="eastAsia" w:ascii="宋体" w:hAnsi="宋体" w:eastAsia="宋体" w:cs="宋体"/>
          <w:color w:val="000000"/>
          <w:spacing w:val="-3"/>
          <w:sz w:val="22"/>
          <w:szCs w:val="22"/>
          <w:lang w:val="en-US" w:eastAsia="zh-CN"/>
        </w:rPr>
      </w:pPr>
      <w:r>
        <w:rPr>
          <w:rFonts w:hint="eastAsia" w:ascii="宋体" w:hAnsi="宋体" w:cs="宋体"/>
          <w:color w:val="000000"/>
          <w:spacing w:val="-3"/>
          <w:sz w:val="22"/>
          <w:szCs w:val="22"/>
        </w:rPr>
        <w:t>日</w:t>
      </w:r>
      <w:r>
        <w:rPr>
          <w:rFonts w:hint="eastAsia" w:ascii="宋体" w:hAnsi="宋体" w:cs="宋体"/>
          <w:color w:val="000000"/>
          <w:spacing w:val="-3"/>
          <w:sz w:val="22"/>
          <w:szCs w:val="22"/>
          <w:lang w:val="en-US" w:eastAsia="zh-CN"/>
        </w:rPr>
        <w:t xml:space="preserve">    </w:t>
      </w:r>
      <w:r>
        <w:rPr>
          <w:rFonts w:hint="eastAsia" w:ascii="宋体" w:hAnsi="宋体" w:cs="宋体"/>
          <w:color w:val="000000"/>
          <w:spacing w:val="-3"/>
          <w:sz w:val="22"/>
          <w:szCs w:val="22"/>
        </w:rPr>
        <w:t xml:space="preserve">期： </w:t>
      </w:r>
      <w:r>
        <w:rPr>
          <w:rFonts w:hint="eastAsia" w:ascii="宋体" w:hAnsi="宋体" w:cs="宋体"/>
          <w:color w:val="000000"/>
          <w:spacing w:val="-3"/>
          <w:sz w:val="22"/>
          <w:szCs w:val="22"/>
          <w:lang w:val="en-US" w:eastAsia="zh-CN"/>
        </w:rPr>
        <w:t xml:space="preserve">  </w:t>
      </w:r>
      <w:r>
        <w:rPr>
          <w:rFonts w:hint="eastAsia" w:ascii="宋体" w:hAnsi="宋体" w:cs="宋体"/>
          <w:color w:val="000000"/>
          <w:spacing w:val="-3"/>
          <w:sz w:val="22"/>
          <w:szCs w:val="22"/>
        </w:rPr>
        <w:t xml:space="preserve"> 年</w:t>
      </w:r>
      <w:r>
        <w:rPr>
          <w:rFonts w:hint="eastAsia" w:ascii="宋体" w:hAnsi="宋体" w:cs="宋体"/>
          <w:color w:val="000000"/>
          <w:spacing w:val="-3"/>
          <w:sz w:val="22"/>
          <w:szCs w:val="22"/>
          <w:lang w:val="en-US" w:eastAsia="zh-CN"/>
        </w:rPr>
        <w:t xml:space="preserve">  </w:t>
      </w:r>
      <w:r>
        <w:rPr>
          <w:rFonts w:hint="eastAsia" w:ascii="宋体" w:hAnsi="宋体" w:cs="宋体"/>
          <w:color w:val="000000"/>
          <w:spacing w:val="-3"/>
          <w:sz w:val="22"/>
          <w:szCs w:val="22"/>
        </w:rPr>
        <w:t xml:space="preserve">  月 </w:t>
      </w:r>
      <w:r>
        <w:rPr>
          <w:rFonts w:hint="eastAsia" w:ascii="宋体" w:hAnsi="宋体" w:cs="宋体"/>
          <w:color w:val="000000"/>
          <w:spacing w:val="-3"/>
          <w:sz w:val="22"/>
          <w:szCs w:val="22"/>
          <w:lang w:val="en-US" w:eastAsia="zh-CN"/>
        </w:rPr>
        <w:t xml:space="preserve"> </w:t>
      </w:r>
      <w:r>
        <w:rPr>
          <w:rFonts w:hint="eastAsia" w:ascii="宋体" w:hAnsi="宋体" w:cs="宋体"/>
          <w:color w:val="000000"/>
          <w:spacing w:val="-3"/>
          <w:sz w:val="22"/>
          <w:szCs w:val="22"/>
        </w:rPr>
        <w:t xml:space="preserve">  日</w:t>
      </w:r>
      <w:r>
        <w:rPr>
          <w:rFonts w:hint="eastAsia" w:ascii="宋体" w:hAnsi="宋体" w:cs="宋体"/>
          <w:color w:val="000000"/>
          <w:spacing w:val="-3"/>
          <w:sz w:val="22"/>
          <w:szCs w:val="22"/>
          <w:lang w:val="en-US" w:eastAsia="zh-CN"/>
        </w:rPr>
        <w:t xml:space="preserve"> </w:t>
      </w:r>
    </w:p>
    <w:p>
      <w:pPr>
        <w:pStyle w:val="28"/>
        <w:tabs>
          <w:tab w:val="left" w:pos="1768"/>
        </w:tabs>
        <w:spacing w:before="173" w:beforeLines="0" w:line="240" w:lineRule="auto"/>
        <w:ind w:firstLine="0" w:firstLineChars="0"/>
        <w:rPr>
          <w:rFonts w:hint="eastAsia" w:ascii="宋体" w:hAnsi="宋体" w:cs="宋体"/>
          <w:color w:val="000000"/>
          <w:spacing w:val="-3"/>
          <w:sz w:val="20"/>
          <w:szCs w:val="20"/>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right="572" w:rightChars="260"/>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lang w:val="en-US" w:eastAsia="zh-CN"/>
        </w:rPr>
        <w:t>六、</w:t>
      </w:r>
      <w:r>
        <w:rPr>
          <w:rFonts w:hint="eastAsia" w:ascii="宋体" w:hAnsi="宋体" w:eastAsia="宋体" w:cs="宋体"/>
          <w:b/>
          <w:bCs/>
          <w:color w:val="000000"/>
          <w:sz w:val="36"/>
          <w:szCs w:val="36"/>
        </w:rPr>
        <w:t>承诺书</w:t>
      </w:r>
    </w:p>
    <w:p>
      <w:pPr>
        <w:pStyle w:val="13"/>
        <w:rPr>
          <w:rFonts w:hint="eastAsia"/>
          <w:lang w:eastAsia="zh-CN"/>
        </w:rPr>
      </w:pP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rPr>
      </w:pP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rPr>
      </w:pPr>
      <w:r>
        <w:rPr>
          <w:rFonts w:hint="eastAsia"/>
          <w:color w:val="auto"/>
          <w:sz w:val="21"/>
          <w:szCs w:val="21"/>
        </w:rPr>
        <w:t>致</w:t>
      </w:r>
      <w:r>
        <w:rPr>
          <w:rFonts w:hint="eastAsia"/>
          <w:color w:val="auto"/>
          <w:sz w:val="21"/>
          <w:szCs w:val="21"/>
          <w:lang w:eastAsia="zh-CN"/>
        </w:rPr>
        <w:t>承诺受理单位</w:t>
      </w:r>
      <w:r>
        <w:rPr>
          <w:rFonts w:hint="eastAsia"/>
          <w:color w:val="auto"/>
          <w:sz w:val="21"/>
          <w:szCs w:val="21"/>
        </w:rPr>
        <w:t>：</w:t>
      </w:r>
      <w:r>
        <w:rPr>
          <w:rFonts w:hint="eastAsia"/>
          <w:color w:val="auto"/>
          <w:sz w:val="21"/>
          <w:szCs w:val="21"/>
          <w:u w:val="single"/>
          <w:lang w:val="en-US" w:eastAsia="zh-CN"/>
        </w:rPr>
        <w:t xml:space="preserve">                             </w:t>
      </w:r>
      <w:r>
        <w:rPr>
          <w:rFonts w:hint="eastAsia"/>
          <w:color w:val="auto"/>
          <w:sz w:val="21"/>
          <w:szCs w:val="21"/>
        </w:rPr>
        <w:t>（招标人）</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rPr>
      </w:pPr>
      <w:r>
        <w:rPr>
          <w:rFonts w:hint="eastAsia"/>
          <w:color w:val="auto"/>
          <w:sz w:val="21"/>
          <w:szCs w:val="21"/>
        </w:rPr>
        <w:t>我公司作为</w:t>
      </w:r>
      <w:r>
        <w:rPr>
          <w:rFonts w:hint="eastAsia"/>
          <w:color w:val="auto"/>
          <w:sz w:val="21"/>
          <w:szCs w:val="21"/>
          <w:lang w:eastAsia="zh-CN"/>
        </w:rPr>
        <w:t>参与</w:t>
      </w:r>
      <w:r>
        <w:rPr>
          <w:rFonts w:hint="eastAsia"/>
          <w:color w:val="auto"/>
          <w:sz w:val="21"/>
          <w:szCs w:val="21"/>
          <w:lang w:val="en-US" w:eastAsia="zh-CN"/>
        </w:rPr>
        <w:t xml:space="preserve">  </w:t>
      </w:r>
      <w:r>
        <w:rPr>
          <w:rFonts w:hint="eastAsia"/>
          <w:color w:val="auto"/>
          <w:sz w:val="21"/>
          <w:szCs w:val="21"/>
          <w:u w:val="single"/>
          <w:lang w:val="en-US" w:eastAsia="zh-CN"/>
        </w:rPr>
        <w:t xml:space="preserve">      </w:t>
      </w:r>
      <w:r>
        <w:rPr>
          <w:rFonts w:hint="eastAsia"/>
          <w:color w:val="auto"/>
          <w:sz w:val="21"/>
          <w:szCs w:val="21"/>
          <w:u w:val="single" w:color="auto"/>
        </w:rPr>
        <w:t>（</w:t>
      </w:r>
      <w:r>
        <w:rPr>
          <w:rFonts w:hint="eastAsia"/>
          <w:color w:val="auto"/>
          <w:sz w:val="21"/>
          <w:szCs w:val="21"/>
          <w:u w:val="single" w:color="auto"/>
          <w:lang w:val="en-US" w:eastAsia="zh-CN"/>
        </w:rPr>
        <w:t xml:space="preserve">  </w:t>
      </w:r>
      <w:r>
        <w:rPr>
          <w:rFonts w:hint="eastAsia"/>
          <w:color w:val="auto"/>
          <w:sz w:val="21"/>
          <w:szCs w:val="21"/>
          <w:u w:val="single" w:color="auto"/>
          <w:lang w:eastAsia="zh-CN"/>
        </w:rPr>
        <w:t>项目</w:t>
      </w:r>
      <w:r>
        <w:rPr>
          <w:rFonts w:hint="eastAsia"/>
          <w:color w:val="auto"/>
          <w:sz w:val="21"/>
          <w:szCs w:val="21"/>
          <w:u w:val="single" w:color="auto"/>
        </w:rPr>
        <w:t>名称</w:t>
      </w:r>
      <w:r>
        <w:rPr>
          <w:rFonts w:hint="eastAsia"/>
          <w:color w:val="auto"/>
          <w:sz w:val="21"/>
          <w:szCs w:val="21"/>
          <w:u w:val="single" w:color="auto"/>
          <w:lang w:val="en-US" w:eastAsia="zh-CN"/>
        </w:rPr>
        <w:t xml:space="preserve">  </w:t>
      </w:r>
      <w:r>
        <w:rPr>
          <w:rFonts w:hint="eastAsia"/>
          <w:color w:val="auto"/>
          <w:sz w:val="21"/>
          <w:szCs w:val="21"/>
          <w:u w:val="single" w:color="auto"/>
        </w:rPr>
        <w:t>）</w:t>
      </w:r>
      <w:r>
        <w:rPr>
          <w:rFonts w:hint="eastAsia"/>
          <w:color w:val="auto"/>
          <w:sz w:val="21"/>
          <w:szCs w:val="21"/>
          <w:u w:val="single" w:color="auto"/>
          <w:lang w:val="en-US" w:eastAsia="zh-CN"/>
        </w:rPr>
        <w:t xml:space="preserve">         </w:t>
      </w:r>
      <w:r>
        <w:rPr>
          <w:rFonts w:hint="eastAsia"/>
          <w:color w:val="auto"/>
          <w:sz w:val="21"/>
          <w:szCs w:val="21"/>
          <w:u w:val="none" w:color="auto"/>
          <w:lang w:eastAsia="zh-CN"/>
        </w:rPr>
        <w:t>招标投标活动的投标人</w:t>
      </w:r>
      <w:r>
        <w:rPr>
          <w:rFonts w:hint="eastAsia"/>
          <w:color w:val="auto"/>
          <w:sz w:val="21"/>
          <w:szCs w:val="21"/>
        </w:rPr>
        <w:t>，郑重作出以下承诺：</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一、</w:t>
      </w:r>
      <w:r>
        <w:rPr>
          <w:rFonts w:hint="eastAsia"/>
          <w:color w:val="auto"/>
          <w:sz w:val="21"/>
          <w:szCs w:val="21"/>
          <w:lang w:eastAsia="zh-CN"/>
        </w:rPr>
        <w:t>在本次招标投标活动中提供的证明材料，包括但不限于营业执照、资质、业绩、获奖、人员、财务、社保、纳税、各类证书等，都是真实、有效的。</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lang w:eastAsia="zh-CN"/>
        </w:rPr>
      </w:pPr>
      <w:r>
        <w:rPr>
          <w:rFonts w:hint="eastAsia"/>
          <w:color w:val="auto"/>
          <w:sz w:val="21"/>
          <w:szCs w:val="21"/>
          <w:lang w:val="en-US" w:eastAsia="zh-CN"/>
        </w:rPr>
        <w:t xml:space="preserve">    </w:t>
      </w:r>
      <w:r>
        <w:rPr>
          <w:rFonts w:hint="eastAsia"/>
          <w:color w:val="auto"/>
          <w:sz w:val="21"/>
          <w:szCs w:val="21"/>
        </w:rPr>
        <w:t>二、</w:t>
      </w:r>
      <w:r>
        <w:rPr>
          <w:rFonts w:hint="eastAsia"/>
          <w:color w:val="auto"/>
          <w:sz w:val="21"/>
          <w:szCs w:val="21"/>
          <w:lang w:eastAsia="zh-CN"/>
        </w:rPr>
        <w:t>同意你方对我司在本次招标投标活动中提供的证明材料，包括但不限于营业执照、资质、业绩、获奖、人员、财务、社保、纳税、各类证书等证明材料在有关平台进行向社会公开，接受社会监督。</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lang w:eastAsia="zh-CN"/>
        </w:rPr>
      </w:pPr>
      <w:r>
        <w:rPr>
          <w:rFonts w:hint="eastAsia"/>
          <w:color w:val="auto"/>
          <w:sz w:val="21"/>
          <w:szCs w:val="21"/>
          <w:lang w:val="en-US" w:eastAsia="zh-CN"/>
        </w:rPr>
        <w:t xml:space="preserve">    </w:t>
      </w:r>
      <w:r>
        <w:rPr>
          <w:rFonts w:hint="eastAsia"/>
          <w:color w:val="auto"/>
          <w:sz w:val="21"/>
          <w:szCs w:val="21"/>
        </w:rPr>
        <w:t>三、</w:t>
      </w:r>
      <w:r>
        <w:rPr>
          <w:rFonts w:hint="eastAsia"/>
          <w:color w:val="auto"/>
          <w:sz w:val="21"/>
          <w:szCs w:val="21"/>
          <w:lang w:eastAsia="zh-CN"/>
        </w:rPr>
        <w:t>基本信息</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lang w:val="en-US" w:eastAsia="zh-CN"/>
        </w:rPr>
      </w:pPr>
      <w:r>
        <w:rPr>
          <w:rFonts w:hint="eastAsia"/>
          <w:color w:val="auto"/>
          <w:sz w:val="21"/>
          <w:szCs w:val="21"/>
          <w:lang w:val="en-US" w:eastAsia="zh-CN"/>
        </w:rPr>
        <w:t xml:space="preserve">    1、承诺人类别：法人</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lang w:val="en-US" w:eastAsia="zh-CN"/>
        </w:rPr>
      </w:pPr>
      <w:r>
        <w:rPr>
          <w:rFonts w:hint="eastAsia"/>
          <w:color w:val="auto"/>
          <w:sz w:val="21"/>
          <w:szCs w:val="21"/>
          <w:lang w:val="en-US" w:eastAsia="zh-CN"/>
        </w:rPr>
        <w:t xml:space="preserve">    2、承诺人代码：（统一社会信用代码）</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lang w:val="en-US" w:eastAsia="zh-CN"/>
        </w:rPr>
      </w:pPr>
      <w:r>
        <w:rPr>
          <w:rFonts w:hint="eastAsia"/>
          <w:color w:val="auto"/>
          <w:sz w:val="21"/>
          <w:szCs w:val="21"/>
          <w:lang w:val="en-US" w:eastAsia="zh-CN"/>
        </w:rPr>
        <w:t xml:space="preserve">    四、承诺类型：主动型</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u w:val="none" w:color="auto"/>
          <w:lang w:eastAsia="zh-CN"/>
        </w:rPr>
      </w:pPr>
      <w:r>
        <w:rPr>
          <w:rFonts w:hint="eastAsia"/>
          <w:color w:val="auto"/>
          <w:sz w:val="21"/>
          <w:szCs w:val="21"/>
          <w:lang w:val="en-US" w:eastAsia="zh-CN"/>
        </w:rPr>
        <w:t xml:space="preserve">    五、承诺事由：参与</w:t>
      </w:r>
      <w:r>
        <w:rPr>
          <w:rFonts w:hint="eastAsia"/>
          <w:color w:val="auto"/>
          <w:sz w:val="21"/>
          <w:szCs w:val="21"/>
          <w:u w:val="single" w:color="auto"/>
        </w:rPr>
        <w:t>（</w:t>
      </w:r>
      <w:r>
        <w:rPr>
          <w:rFonts w:hint="eastAsia"/>
          <w:color w:val="auto"/>
          <w:sz w:val="21"/>
          <w:szCs w:val="21"/>
          <w:u w:val="single" w:color="auto"/>
          <w:lang w:eastAsia="zh-CN"/>
        </w:rPr>
        <w:t>项目</w:t>
      </w:r>
      <w:r>
        <w:rPr>
          <w:rFonts w:hint="eastAsia"/>
          <w:color w:val="auto"/>
          <w:sz w:val="21"/>
          <w:szCs w:val="21"/>
          <w:u w:val="single" w:color="auto"/>
        </w:rPr>
        <w:t>名称）</w:t>
      </w:r>
      <w:r>
        <w:rPr>
          <w:rFonts w:hint="eastAsia"/>
          <w:color w:val="auto"/>
          <w:sz w:val="21"/>
          <w:szCs w:val="21"/>
          <w:u w:val="none" w:color="auto"/>
          <w:lang w:eastAsia="zh-CN"/>
        </w:rPr>
        <w:t>招标投标活动。</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u w:val="none" w:color="auto"/>
          <w:lang w:val="en-US" w:eastAsia="zh-CN"/>
        </w:rPr>
      </w:pPr>
      <w:r>
        <w:rPr>
          <w:rFonts w:hint="eastAsia"/>
          <w:color w:val="auto"/>
          <w:sz w:val="21"/>
          <w:szCs w:val="21"/>
          <w:u w:val="none" w:color="auto"/>
          <w:lang w:val="en-US" w:eastAsia="zh-CN"/>
        </w:rPr>
        <w:t xml:space="preserve">    六、承诺有效期：同投标有效期。</w:t>
      </w:r>
    </w:p>
    <w:p>
      <w:pPr>
        <w:keepNext w:val="0"/>
        <w:keepLines w:val="0"/>
        <w:pageBreakBefore w:val="0"/>
        <w:widowControl/>
        <w:kinsoku/>
        <w:wordWrap/>
        <w:overflowPunct/>
        <w:topLinePunct w:val="0"/>
        <w:autoSpaceDE/>
        <w:autoSpaceDN/>
        <w:bidi w:val="0"/>
        <w:snapToGrid w:val="0"/>
        <w:spacing w:line="480" w:lineRule="auto"/>
        <w:ind w:firstLine="210" w:firstLineChars="100"/>
        <w:textAlignment w:val="auto"/>
        <w:rPr>
          <w:rFonts w:hint="eastAsia"/>
          <w:color w:val="auto"/>
          <w:sz w:val="21"/>
          <w:szCs w:val="21"/>
          <w:u w:val="none" w:color="auto"/>
          <w:lang w:val="en-US" w:eastAsia="zh-CN"/>
        </w:rPr>
      </w:pPr>
      <w:r>
        <w:rPr>
          <w:rFonts w:hint="eastAsia"/>
          <w:color w:val="auto"/>
          <w:sz w:val="21"/>
          <w:szCs w:val="21"/>
          <w:u w:val="none" w:color="auto"/>
          <w:lang w:val="en-US" w:eastAsia="zh-CN"/>
        </w:rPr>
        <w:t>七、公开类型：向社会公开。</w:t>
      </w:r>
    </w:p>
    <w:p>
      <w:pPr>
        <w:keepNext w:val="0"/>
        <w:keepLines w:val="0"/>
        <w:pageBreakBefore w:val="0"/>
        <w:widowControl/>
        <w:kinsoku/>
        <w:wordWrap/>
        <w:overflowPunct/>
        <w:topLinePunct w:val="0"/>
        <w:autoSpaceDE/>
        <w:autoSpaceDN/>
        <w:bidi w:val="0"/>
        <w:snapToGrid w:val="0"/>
        <w:spacing w:line="480" w:lineRule="auto"/>
        <w:ind w:firstLine="420" w:firstLineChars="200"/>
        <w:textAlignment w:val="auto"/>
        <w:rPr>
          <w:rFonts w:hint="eastAsia"/>
          <w:color w:val="auto"/>
          <w:sz w:val="21"/>
          <w:szCs w:val="21"/>
          <w:u w:val="none" w:color="auto"/>
          <w:lang w:val="en-US" w:eastAsia="zh-CN"/>
        </w:rPr>
      </w:pPr>
      <w:r>
        <w:rPr>
          <w:rFonts w:hint="eastAsia"/>
          <w:color w:val="auto"/>
          <w:sz w:val="21"/>
          <w:szCs w:val="21"/>
          <w:u w:val="none" w:color="auto"/>
          <w:lang w:val="en-US" w:eastAsia="zh-CN"/>
        </w:rPr>
        <w:t>如本公司违反上述承诺，由此带来的一切法律责任由我方承担。</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rPr>
      </w:pPr>
    </w:p>
    <w:p>
      <w:pPr>
        <w:pStyle w:val="22"/>
        <w:rPr>
          <w:rFonts w:hint="eastAsia"/>
          <w:color w:val="auto"/>
          <w:sz w:val="21"/>
          <w:szCs w:val="21"/>
        </w:rPr>
      </w:pPr>
    </w:p>
    <w:p>
      <w:pPr>
        <w:pStyle w:val="22"/>
        <w:rPr>
          <w:rFonts w:hint="eastAsia"/>
          <w:color w:val="auto"/>
          <w:sz w:val="21"/>
          <w:szCs w:val="21"/>
        </w:rPr>
      </w:pP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rPr>
      </w:pPr>
      <w:r>
        <w:rPr>
          <w:rFonts w:hint="eastAsia"/>
          <w:color w:val="auto"/>
          <w:sz w:val="21"/>
          <w:szCs w:val="21"/>
          <w:lang w:val="en-US" w:eastAsia="zh-CN"/>
        </w:rPr>
        <w:t xml:space="preserve">                   投标</w:t>
      </w:r>
      <w:r>
        <w:rPr>
          <w:rFonts w:hint="eastAsia"/>
          <w:color w:val="auto"/>
          <w:sz w:val="21"/>
          <w:szCs w:val="21"/>
          <w:lang w:eastAsia="zh-CN"/>
        </w:rPr>
        <w:t>承诺人：</w:t>
      </w:r>
      <w:r>
        <w:rPr>
          <w:rFonts w:hint="eastAsia"/>
          <w:color w:val="auto"/>
          <w:sz w:val="21"/>
          <w:szCs w:val="21"/>
          <w:lang w:val="en-US" w:eastAsia="zh-CN"/>
        </w:rPr>
        <w:t xml:space="preserve"> </w:t>
      </w:r>
      <w:r>
        <w:rPr>
          <w:rFonts w:hint="eastAsia"/>
          <w:color w:val="auto"/>
          <w:sz w:val="21"/>
          <w:szCs w:val="21"/>
          <w:u w:val="single"/>
          <w:lang w:val="en-US" w:eastAsia="zh-CN"/>
        </w:rPr>
        <w:t xml:space="preserve">              </w:t>
      </w:r>
      <w:r>
        <w:rPr>
          <w:rFonts w:hint="eastAsia"/>
          <w:color w:val="auto"/>
          <w:sz w:val="21"/>
          <w:szCs w:val="21"/>
          <w:u w:val="single" w:color="auto"/>
          <w:lang w:val="en-US" w:eastAsia="zh-CN"/>
        </w:rPr>
        <w:t xml:space="preserve">                              </w:t>
      </w:r>
      <w:r>
        <w:rPr>
          <w:rFonts w:hint="eastAsia"/>
          <w:color w:val="auto"/>
          <w:sz w:val="21"/>
          <w:szCs w:val="21"/>
        </w:rPr>
        <w:t>（公章）</w:t>
      </w:r>
    </w:p>
    <w:p>
      <w:pPr>
        <w:keepNext w:val="0"/>
        <w:keepLines w:val="0"/>
        <w:pageBreakBefore w:val="0"/>
        <w:widowControl/>
        <w:kinsoku/>
        <w:wordWrap/>
        <w:overflowPunct/>
        <w:topLinePunct w:val="0"/>
        <w:autoSpaceDE/>
        <w:autoSpaceDN/>
        <w:bidi w:val="0"/>
        <w:snapToGrid w:val="0"/>
        <w:spacing w:line="480" w:lineRule="auto"/>
        <w:textAlignment w:val="auto"/>
        <w:rPr>
          <w:rFonts w:hint="eastAsia"/>
          <w:color w:val="auto"/>
          <w:sz w:val="21"/>
          <w:szCs w:val="21"/>
          <w:u w:val="none" w:color="auto"/>
        </w:rPr>
      </w:pPr>
      <w:r>
        <w:rPr>
          <w:rFonts w:hint="eastAsia"/>
          <w:color w:val="auto"/>
          <w:sz w:val="21"/>
          <w:szCs w:val="21"/>
          <w:lang w:val="en-US" w:eastAsia="zh-CN"/>
        </w:rPr>
        <w:t xml:space="preserve">                   </w:t>
      </w:r>
      <w:r>
        <w:rPr>
          <w:rFonts w:hint="eastAsia"/>
          <w:color w:val="auto"/>
          <w:sz w:val="21"/>
          <w:szCs w:val="21"/>
        </w:rPr>
        <w:t>法定代表人（或授权代理人）：</w:t>
      </w:r>
      <w:r>
        <w:rPr>
          <w:rFonts w:hint="eastAsia"/>
          <w:color w:val="auto"/>
          <w:sz w:val="21"/>
          <w:szCs w:val="21"/>
          <w:u w:val="single"/>
          <w:lang w:val="en-US" w:eastAsia="zh-CN"/>
        </w:rPr>
        <w:t xml:space="preserve">                       </w:t>
      </w:r>
      <w:r>
        <w:rPr>
          <w:rFonts w:hint="eastAsia"/>
          <w:color w:val="auto"/>
          <w:sz w:val="21"/>
          <w:szCs w:val="21"/>
          <w:u w:val="none" w:color="auto"/>
        </w:rPr>
        <w:t>（签名或盖章）</w:t>
      </w:r>
    </w:p>
    <w:p>
      <w:pPr>
        <w:keepNext w:val="0"/>
        <w:keepLines w:val="0"/>
        <w:pageBreakBefore w:val="0"/>
        <w:widowControl/>
        <w:kinsoku/>
        <w:wordWrap/>
        <w:overflowPunct/>
        <w:topLinePunct w:val="0"/>
        <w:autoSpaceDE/>
        <w:autoSpaceDN/>
        <w:bidi w:val="0"/>
        <w:snapToGrid w:val="0"/>
        <w:spacing w:line="480" w:lineRule="auto"/>
        <w:ind w:firstLine="2100" w:firstLineChars="1000"/>
        <w:jc w:val="both"/>
        <w:textAlignment w:val="auto"/>
        <w:rPr>
          <w:rFonts w:hint="eastAsia"/>
          <w:color w:val="auto"/>
          <w:sz w:val="21"/>
          <w:szCs w:val="21"/>
        </w:rPr>
      </w:pPr>
      <w:r>
        <w:rPr>
          <w:rFonts w:hint="eastAsia"/>
          <w:color w:val="auto"/>
          <w:sz w:val="21"/>
          <w:szCs w:val="21"/>
        </w:rPr>
        <w:t>日</w:t>
      </w:r>
      <w:r>
        <w:rPr>
          <w:rFonts w:hint="eastAsia"/>
          <w:color w:val="auto"/>
          <w:sz w:val="21"/>
          <w:szCs w:val="21"/>
          <w:lang w:val="en-US" w:eastAsia="zh-CN"/>
        </w:rPr>
        <w:t xml:space="preserve">     </w:t>
      </w:r>
      <w:r>
        <w:rPr>
          <w:rFonts w:hint="eastAsia"/>
          <w:color w:val="auto"/>
          <w:sz w:val="21"/>
          <w:szCs w:val="21"/>
        </w:rPr>
        <w:t>期：</w:t>
      </w:r>
      <w:r>
        <w:rPr>
          <w:rFonts w:hint="eastAsia"/>
          <w:color w:val="auto"/>
          <w:sz w:val="21"/>
          <w:szCs w:val="21"/>
          <w:u w:val="single" w:color="auto"/>
          <w:lang w:val="en-US" w:eastAsia="zh-CN"/>
        </w:rPr>
        <w:t xml:space="preserve">          </w:t>
      </w:r>
      <w:r>
        <w:rPr>
          <w:rFonts w:hint="eastAsia"/>
          <w:color w:val="auto"/>
          <w:sz w:val="21"/>
          <w:szCs w:val="21"/>
        </w:rPr>
        <w:t>年</w:t>
      </w:r>
      <w:r>
        <w:rPr>
          <w:rFonts w:hint="eastAsia"/>
          <w:color w:val="auto"/>
          <w:sz w:val="21"/>
          <w:szCs w:val="21"/>
          <w:u w:val="single" w:color="auto"/>
          <w:lang w:val="en-US" w:eastAsia="zh-CN"/>
        </w:rPr>
        <w:t xml:space="preserve">          </w:t>
      </w:r>
      <w:r>
        <w:rPr>
          <w:rFonts w:hint="eastAsia"/>
          <w:color w:val="auto"/>
          <w:sz w:val="21"/>
          <w:szCs w:val="21"/>
        </w:rPr>
        <w:t>月____日</w:t>
      </w:r>
    </w:p>
    <w:p>
      <w:pPr>
        <w:keepNext w:val="0"/>
        <w:keepLines w:val="0"/>
        <w:pageBreakBefore w:val="0"/>
        <w:widowControl/>
        <w:kinsoku/>
        <w:wordWrap/>
        <w:overflowPunct/>
        <w:topLinePunct w:val="0"/>
        <w:autoSpaceDE/>
        <w:autoSpaceDN/>
        <w:bidi w:val="0"/>
        <w:spacing w:before="55" w:beforeLines="0" w:line="480" w:lineRule="auto"/>
        <w:jc w:val="both"/>
        <w:textAlignment w:val="auto"/>
        <w:rPr>
          <w:rFonts w:hint="eastAsia" w:ascii="宋体" w:hAnsi="宋体" w:cs="宋体"/>
          <w:b/>
          <w:bCs/>
          <w:color w:val="000000"/>
          <w:sz w:val="36"/>
          <w:szCs w:val="36"/>
          <w:lang w:eastAsia="zh-CN"/>
        </w:rPr>
      </w:pPr>
    </w:p>
    <w:p>
      <w:pPr>
        <w:keepNext w:val="0"/>
        <w:keepLines w:val="0"/>
        <w:pageBreakBefore w:val="0"/>
        <w:widowControl/>
        <w:kinsoku/>
        <w:wordWrap/>
        <w:overflowPunct/>
        <w:topLinePunct w:val="0"/>
        <w:autoSpaceDE/>
        <w:autoSpaceDN/>
        <w:bidi w:val="0"/>
        <w:spacing w:before="55" w:beforeLines="0" w:line="480" w:lineRule="auto"/>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lang w:val="en-US" w:eastAsia="zh-CN"/>
        </w:rPr>
        <w:t>七</w:t>
      </w:r>
      <w:r>
        <w:rPr>
          <w:rFonts w:hint="eastAsia" w:ascii="宋体" w:hAnsi="宋体" w:cs="宋体"/>
          <w:b/>
          <w:bCs/>
          <w:color w:val="000000"/>
          <w:sz w:val="36"/>
          <w:szCs w:val="36"/>
        </w:rPr>
        <w:t>、投标保证金</w:t>
      </w:r>
    </w:p>
    <w:p>
      <w:pPr>
        <w:pStyle w:val="14"/>
        <w:rPr>
          <w:rFonts w:hint="eastAsia"/>
          <w:color w:val="000000"/>
          <w:sz w:val="32"/>
        </w:rPr>
      </w:pPr>
    </w:p>
    <w:p>
      <w:pPr>
        <w:jc w:val="both"/>
        <w:rPr>
          <w:rFonts w:hint="eastAsia" w:ascii="宋体" w:hAnsi="宋体" w:cs="宋体"/>
          <w:color w:val="000000"/>
          <w:sz w:val="21"/>
          <w:szCs w:val="21"/>
        </w:rPr>
      </w:pPr>
      <w:r>
        <w:rPr>
          <w:rFonts w:hint="eastAsia" w:ascii="宋体" w:hAnsi="宋体" w:cs="宋体"/>
          <w:color w:val="000000"/>
          <w:sz w:val="21"/>
          <w:szCs w:val="21"/>
        </w:rPr>
        <w:t>投标人应在此提供(1)投标人应在此提供转账凭单扫描件或复印件，并应保证转账凭单扫描件或复印件清晰可辨。或:(2)投标人应在此提供投标保函或投标保证保险的复印件(盖单位章)</w:t>
      </w:r>
    </w:p>
    <w:p>
      <w:pPr>
        <w:ind w:left="719" w:leftChars="327" w:right="777" w:rightChars="353" w:firstLine="440" w:firstLineChars="200"/>
        <w:rPr>
          <w:rFonts w:hint="eastAsia"/>
          <w:color w:val="000000"/>
        </w:rPr>
      </w:pPr>
    </w:p>
    <w:p>
      <w:pPr>
        <w:ind w:left="719" w:leftChars="327" w:right="777" w:rightChars="353" w:firstLine="440" w:firstLineChars="200"/>
        <w:rPr>
          <w:rFonts w:hint="eastAsia"/>
          <w:color w:val="000000"/>
        </w:rPr>
      </w:pPr>
    </w:p>
    <w:tbl>
      <w:tblPr>
        <w:tblStyle w:val="23"/>
        <w:tblW w:w="0" w:type="auto"/>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8283"/>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764" w:hRule="atLeast"/>
        </w:trPr>
        <w:tc>
          <w:tcPr>
            <w:tcW w:w="8283" w:type="dxa"/>
            <w:noWrap w:val="0"/>
            <w:vAlign w:val="top"/>
          </w:tcPr>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hint="eastAsia"/>
                <w:color w:val="000000"/>
              </w:rPr>
            </w:pPr>
            <w:r>
              <w:rPr>
                <w:rFonts w:hint="eastAsia"/>
                <w:color w:val="000000"/>
              </w:rPr>
              <w:t>后附: (1) 转帐凭单复印件或扫描件(并加盖单位章) , 或</w:t>
            </w:r>
          </w:p>
          <w:p>
            <w:pPr>
              <w:jc w:val="center"/>
              <w:rPr>
                <w:rFonts w:hint="eastAsia"/>
                <w:color w:val="000000"/>
              </w:rPr>
            </w:pPr>
            <w:r>
              <w:rPr>
                <w:rFonts w:hint="eastAsia"/>
                <w:color w:val="000000"/>
              </w:rPr>
              <w:t>(2)投标保函或投标保证保险的复印件( 盖单位章)</w:t>
            </w:r>
          </w:p>
          <w:p>
            <w:pPr>
              <w:jc w:val="cente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5343" w:hRule="atLeast"/>
        </w:trPr>
        <w:tc>
          <w:tcPr>
            <w:tcW w:w="8283" w:type="dxa"/>
            <w:noWrap w:val="0"/>
            <w:vAlign w:val="top"/>
          </w:tcPr>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hint="eastAsia"/>
                <w:color w:val="000000"/>
              </w:rPr>
            </w:pPr>
            <w:r>
              <w:rPr>
                <w:rFonts w:hint="eastAsia"/>
                <w:color w:val="000000"/>
              </w:rPr>
              <w:t>基本账户开户许可证的复印件或扫描件(盖单位章)、或提供基本存款账户编号</w:t>
            </w:r>
          </w:p>
          <w:p>
            <w:pPr>
              <w:rPr>
                <w:color w:val="000000"/>
              </w:rPr>
            </w:pPr>
          </w:p>
        </w:tc>
      </w:tr>
    </w:tbl>
    <w:p>
      <w:pPr>
        <w:rPr>
          <w:rFonts w:hint="eastAsia"/>
          <w:color w:val="000000"/>
        </w:rPr>
      </w:pPr>
    </w:p>
    <w:p>
      <w:pPr>
        <w:rPr>
          <w:rFonts w:hint="eastAsia"/>
          <w:color w:val="000000"/>
        </w:rPr>
      </w:pPr>
    </w:p>
    <w:p>
      <w:pPr>
        <w:numPr>
          <w:ilvl w:val="0"/>
          <w:numId w:val="0"/>
        </w:numPr>
        <w:jc w:val="center"/>
        <w:rPr>
          <w:rFonts w:hint="eastAsia" w:ascii="宋体" w:hAnsi="宋体" w:cs="宋体"/>
          <w:b/>
          <w:bCs/>
          <w:color w:val="000000"/>
          <w:sz w:val="36"/>
          <w:szCs w:val="36"/>
        </w:rPr>
      </w:pPr>
      <w:r>
        <w:rPr>
          <w:rFonts w:hint="eastAsia"/>
          <w:color w:val="000000"/>
        </w:rPr>
        <w:br w:type="page"/>
      </w:r>
      <w:r>
        <w:rPr>
          <w:rFonts w:hint="eastAsia" w:ascii="宋体" w:hAnsi="宋体" w:eastAsia="宋体" w:cs="宋体"/>
          <w:b/>
          <w:bCs/>
          <w:color w:val="000000"/>
          <w:sz w:val="36"/>
          <w:szCs w:val="36"/>
          <w:lang w:val="en-US" w:eastAsia="zh-CN"/>
        </w:rPr>
        <w:t>八</w:t>
      </w:r>
      <w:r>
        <w:rPr>
          <w:rFonts w:hint="eastAsia" w:ascii="宋体" w:hAnsi="宋体" w:eastAsia="宋体" w:cs="宋体"/>
          <w:b/>
          <w:bCs/>
          <w:color w:val="000000"/>
          <w:sz w:val="36"/>
          <w:szCs w:val="36"/>
          <w:lang w:eastAsia="zh-CN"/>
        </w:rPr>
        <w:t>、</w:t>
      </w:r>
      <w:r>
        <w:rPr>
          <w:rFonts w:hint="eastAsia" w:ascii="宋体" w:hAnsi="宋体" w:eastAsia="宋体" w:cs="宋体"/>
          <w:b/>
          <w:bCs/>
          <w:color w:val="000000"/>
          <w:sz w:val="36"/>
          <w:szCs w:val="36"/>
        </w:rPr>
        <w:t>资信与业绩</w:t>
      </w:r>
      <w:r>
        <w:rPr>
          <w:rFonts w:hint="eastAsia" w:ascii="宋体" w:hAnsi="宋体" w:cs="宋体"/>
          <w:b/>
          <w:bCs/>
          <w:color w:val="000000"/>
          <w:sz w:val="36"/>
          <w:szCs w:val="36"/>
        </w:rPr>
        <w:t>资料</w:t>
      </w:r>
    </w:p>
    <w:p>
      <w:pPr>
        <w:jc w:val="both"/>
        <w:rPr>
          <w:rFonts w:hint="eastAsia" w:ascii="宋体" w:hAnsi="宋体" w:cs="宋体"/>
          <w:b/>
          <w:bCs/>
          <w:color w:val="000000"/>
          <w:sz w:val="44"/>
          <w:szCs w:val="44"/>
        </w:rPr>
      </w:pPr>
    </w:p>
    <w:p>
      <w:pPr>
        <w:pStyle w:val="14"/>
        <w:spacing w:before="2" w:beforeLines="0" w:line="360" w:lineRule="auto"/>
        <w:rPr>
          <w:b/>
          <w:color w:val="000000"/>
          <w:sz w:val="24"/>
        </w:rPr>
      </w:pPr>
      <w:r>
        <w:rPr>
          <w:rFonts w:hint="eastAsia"/>
          <w:b/>
          <w:color w:val="000000"/>
          <w:sz w:val="30"/>
          <w:szCs w:val="30"/>
          <w:lang w:val="en-US" w:bidi="ar-SA"/>
        </w:rPr>
        <w:t>1.投标人的基本情况表</w:t>
      </w:r>
      <w:r>
        <w:rPr>
          <w:b/>
          <w:color w:val="000000"/>
          <w:sz w:val="24"/>
          <w:u w:val="single"/>
        </w:rPr>
        <w:t xml:space="preserve">                           </w:t>
      </w:r>
    </w:p>
    <w:p>
      <w:pPr>
        <w:tabs>
          <w:tab w:val="left" w:pos="7170"/>
        </w:tabs>
        <w:ind w:left="543"/>
        <w:rPr>
          <w:b/>
          <w:color w:val="000000"/>
          <w:sz w:val="24"/>
        </w:rPr>
      </w:pPr>
    </w:p>
    <w:tbl>
      <w:tblPr>
        <w:tblStyle w:val="23"/>
        <w:tblpPr w:leftFromText="180" w:rightFromText="180" w:vertAnchor="text" w:horzAnchor="page" w:tblpX="1395" w:tblpY="13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1179"/>
        <w:gridCol w:w="1135"/>
        <w:gridCol w:w="1558"/>
        <w:gridCol w:w="1126"/>
        <w:gridCol w:w="995"/>
        <w:gridCol w:w="1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8" w:type="dxa"/>
            <w:noWrap w:val="0"/>
            <w:vAlign w:val="top"/>
          </w:tcPr>
          <w:p>
            <w:pPr>
              <w:pStyle w:val="29"/>
              <w:spacing w:before="142" w:beforeLines="0"/>
              <w:ind w:left="158" w:right="149"/>
              <w:jc w:val="center"/>
              <w:rPr>
                <w:rFonts w:hint="eastAsia" w:ascii="宋体" w:hAnsi="宋体" w:eastAsia="宋体" w:cs="宋体"/>
                <w:color w:val="000000"/>
                <w:sz w:val="21"/>
              </w:rPr>
            </w:pPr>
            <w:r>
              <w:rPr>
                <w:rFonts w:hint="eastAsia" w:ascii="宋体" w:hAnsi="宋体" w:eastAsia="宋体" w:cs="宋体"/>
                <w:color w:val="000000"/>
                <w:sz w:val="21"/>
              </w:rPr>
              <w:t>投标人名称</w:t>
            </w:r>
          </w:p>
        </w:tc>
        <w:tc>
          <w:tcPr>
            <w:tcW w:w="7249" w:type="dxa"/>
            <w:gridSpan w:val="6"/>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8" w:type="dxa"/>
            <w:noWrap w:val="0"/>
            <w:vAlign w:val="top"/>
          </w:tcPr>
          <w:p>
            <w:pPr>
              <w:pStyle w:val="29"/>
              <w:spacing w:before="142" w:beforeLines="0"/>
              <w:ind w:left="158" w:right="149"/>
              <w:jc w:val="center"/>
              <w:rPr>
                <w:rFonts w:hint="eastAsia" w:ascii="宋体" w:hAnsi="宋体" w:eastAsia="宋体" w:cs="宋体"/>
                <w:color w:val="000000"/>
                <w:sz w:val="21"/>
              </w:rPr>
            </w:pPr>
            <w:r>
              <w:rPr>
                <w:rFonts w:hint="eastAsia" w:ascii="宋体" w:hAnsi="宋体" w:eastAsia="宋体" w:cs="宋体"/>
                <w:color w:val="000000"/>
                <w:sz w:val="21"/>
              </w:rPr>
              <w:t>注册地址</w:t>
            </w:r>
          </w:p>
        </w:tc>
        <w:tc>
          <w:tcPr>
            <w:tcW w:w="3872" w:type="dxa"/>
            <w:gridSpan w:val="3"/>
            <w:noWrap w:val="0"/>
            <w:vAlign w:val="top"/>
          </w:tcPr>
          <w:p>
            <w:pPr>
              <w:pStyle w:val="29"/>
              <w:rPr>
                <w:rFonts w:hint="eastAsia" w:ascii="宋体" w:hAnsi="宋体" w:eastAsia="宋体" w:cs="宋体"/>
                <w:color w:val="000000"/>
                <w:sz w:val="20"/>
              </w:rPr>
            </w:pPr>
          </w:p>
        </w:tc>
        <w:tc>
          <w:tcPr>
            <w:tcW w:w="1126" w:type="dxa"/>
            <w:noWrap w:val="0"/>
            <w:vAlign w:val="top"/>
          </w:tcPr>
          <w:p>
            <w:pPr>
              <w:pStyle w:val="29"/>
              <w:spacing w:before="142" w:beforeLines="0"/>
              <w:ind w:left="8"/>
              <w:jc w:val="center"/>
              <w:rPr>
                <w:rFonts w:hint="eastAsia" w:ascii="宋体" w:hAnsi="宋体" w:eastAsia="宋体" w:cs="宋体"/>
                <w:color w:val="000000"/>
                <w:sz w:val="21"/>
              </w:rPr>
            </w:pPr>
            <w:r>
              <w:rPr>
                <w:rFonts w:hint="eastAsia" w:ascii="宋体" w:hAnsi="宋体" w:eastAsia="宋体" w:cs="宋体"/>
                <w:color w:val="000000"/>
                <w:sz w:val="21"/>
              </w:rPr>
              <w:t>邮政编码</w:t>
            </w:r>
          </w:p>
        </w:tc>
        <w:tc>
          <w:tcPr>
            <w:tcW w:w="2251" w:type="dxa"/>
            <w:gridSpan w:val="2"/>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8" w:type="dxa"/>
            <w:vMerge w:val="restart"/>
            <w:noWrap w:val="0"/>
            <w:vAlign w:val="top"/>
          </w:tcPr>
          <w:p>
            <w:pPr>
              <w:pStyle w:val="29"/>
              <w:rPr>
                <w:rFonts w:hint="eastAsia" w:ascii="宋体" w:hAnsi="宋体" w:eastAsia="宋体" w:cs="宋体"/>
                <w:b/>
                <w:color w:val="000000"/>
                <w:sz w:val="20"/>
              </w:rPr>
            </w:pPr>
          </w:p>
          <w:p>
            <w:pPr>
              <w:pStyle w:val="29"/>
              <w:spacing w:before="172" w:beforeLines="0"/>
              <w:ind w:left="477"/>
              <w:rPr>
                <w:rFonts w:hint="eastAsia" w:ascii="宋体" w:hAnsi="宋体" w:eastAsia="宋体" w:cs="宋体"/>
                <w:color w:val="000000"/>
                <w:sz w:val="21"/>
              </w:rPr>
            </w:pPr>
            <w:r>
              <w:rPr>
                <w:rFonts w:hint="eastAsia" w:ascii="宋体" w:hAnsi="宋体" w:eastAsia="宋体" w:cs="宋体"/>
                <w:color w:val="000000"/>
                <w:sz w:val="21"/>
              </w:rPr>
              <w:t>联系方式</w:t>
            </w:r>
          </w:p>
        </w:tc>
        <w:tc>
          <w:tcPr>
            <w:tcW w:w="1179" w:type="dxa"/>
            <w:noWrap w:val="0"/>
            <w:vAlign w:val="top"/>
          </w:tcPr>
          <w:p>
            <w:pPr>
              <w:pStyle w:val="29"/>
              <w:spacing w:before="145" w:beforeLines="0"/>
              <w:ind w:left="270"/>
              <w:rPr>
                <w:rFonts w:hint="eastAsia" w:ascii="宋体" w:hAnsi="宋体" w:eastAsia="宋体" w:cs="宋体"/>
                <w:color w:val="000000"/>
                <w:sz w:val="21"/>
              </w:rPr>
            </w:pPr>
            <w:r>
              <w:rPr>
                <w:rFonts w:hint="eastAsia" w:ascii="宋体" w:hAnsi="宋体" w:eastAsia="宋体" w:cs="宋体"/>
                <w:color w:val="000000"/>
                <w:sz w:val="21"/>
              </w:rPr>
              <w:t>联系人</w:t>
            </w:r>
          </w:p>
        </w:tc>
        <w:tc>
          <w:tcPr>
            <w:tcW w:w="2693" w:type="dxa"/>
            <w:gridSpan w:val="2"/>
            <w:noWrap w:val="0"/>
            <w:vAlign w:val="top"/>
          </w:tcPr>
          <w:p>
            <w:pPr>
              <w:pStyle w:val="29"/>
              <w:rPr>
                <w:rFonts w:hint="eastAsia" w:ascii="宋体" w:hAnsi="宋体" w:eastAsia="宋体" w:cs="宋体"/>
                <w:color w:val="000000"/>
                <w:sz w:val="20"/>
              </w:rPr>
            </w:pPr>
          </w:p>
        </w:tc>
        <w:tc>
          <w:tcPr>
            <w:tcW w:w="1126" w:type="dxa"/>
            <w:noWrap w:val="0"/>
            <w:vAlign w:val="top"/>
          </w:tcPr>
          <w:p>
            <w:pPr>
              <w:pStyle w:val="29"/>
              <w:tabs>
                <w:tab w:val="left" w:pos="639"/>
              </w:tabs>
              <w:spacing w:before="145" w:beforeLines="0"/>
              <w:ind w:left="8"/>
              <w:jc w:val="center"/>
              <w:rPr>
                <w:rFonts w:hint="eastAsia" w:ascii="宋体" w:hAnsi="宋体" w:eastAsia="宋体" w:cs="宋体"/>
                <w:color w:val="000000"/>
                <w:sz w:val="21"/>
              </w:rPr>
            </w:pPr>
            <w:r>
              <w:rPr>
                <w:rFonts w:hint="eastAsia" w:ascii="宋体" w:hAnsi="宋体" w:eastAsia="宋体" w:cs="宋体"/>
                <w:color w:val="000000"/>
                <w:sz w:val="21"/>
              </w:rPr>
              <w:t>电</w:t>
            </w:r>
            <w:r>
              <w:rPr>
                <w:rFonts w:hint="eastAsia" w:ascii="宋体" w:hAnsi="宋体" w:eastAsia="宋体" w:cs="宋体"/>
                <w:color w:val="000000"/>
                <w:sz w:val="21"/>
              </w:rPr>
              <w:tab/>
            </w:r>
            <w:r>
              <w:rPr>
                <w:rFonts w:hint="eastAsia" w:ascii="宋体" w:hAnsi="宋体" w:eastAsia="宋体" w:cs="宋体"/>
                <w:color w:val="000000"/>
                <w:sz w:val="21"/>
              </w:rPr>
              <w:t>话</w:t>
            </w:r>
          </w:p>
        </w:tc>
        <w:tc>
          <w:tcPr>
            <w:tcW w:w="2251" w:type="dxa"/>
            <w:gridSpan w:val="2"/>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798" w:type="dxa"/>
            <w:vMerge w:val="continue"/>
            <w:tcBorders>
              <w:top w:val="nil"/>
            </w:tcBorders>
            <w:noWrap w:val="0"/>
            <w:vAlign w:val="top"/>
          </w:tcPr>
          <w:p>
            <w:pPr>
              <w:rPr>
                <w:rFonts w:hint="eastAsia" w:ascii="宋体" w:hAnsi="宋体" w:cs="宋体"/>
                <w:color w:val="000000"/>
                <w:sz w:val="2"/>
                <w:szCs w:val="2"/>
              </w:rPr>
            </w:pPr>
          </w:p>
        </w:tc>
        <w:tc>
          <w:tcPr>
            <w:tcW w:w="1179" w:type="dxa"/>
            <w:noWrap w:val="0"/>
            <w:vAlign w:val="top"/>
          </w:tcPr>
          <w:p>
            <w:pPr>
              <w:pStyle w:val="29"/>
              <w:tabs>
                <w:tab w:val="left" w:pos="692"/>
              </w:tabs>
              <w:spacing w:before="145" w:beforeLines="0"/>
              <w:ind w:left="270"/>
              <w:rPr>
                <w:rFonts w:hint="eastAsia" w:ascii="宋体" w:hAnsi="宋体" w:eastAsia="宋体" w:cs="宋体"/>
                <w:color w:val="000000"/>
                <w:sz w:val="21"/>
              </w:rPr>
            </w:pPr>
            <w:r>
              <w:rPr>
                <w:rFonts w:hint="eastAsia" w:ascii="宋体" w:hAnsi="宋体" w:eastAsia="宋体" w:cs="宋体"/>
                <w:color w:val="000000"/>
                <w:sz w:val="21"/>
              </w:rPr>
              <w:t>传</w:t>
            </w:r>
            <w:r>
              <w:rPr>
                <w:rFonts w:hint="eastAsia" w:ascii="宋体" w:hAnsi="宋体" w:eastAsia="宋体" w:cs="宋体"/>
                <w:color w:val="000000"/>
                <w:sz w:val="21"/>
              </w:rPr>
              <w:tab/>
            </w:r>
            <w:r>
              <w:rPr>
                <w:rFonts w:hint="eastAsia" w:ascii="宋体" w:hAnsi="宋体" w:eastAsia="宋体" w:cs="宋体"/>
                <w:color w:val="000000"/>
                <w:sz w:val="21"/>
              </w:rPr>
              <w:t>真</w:t>
            </w:r>
          </w:p>
        </w:tc>
        <w:tc>
          <w:tcPr>
            <w:tcW w:w="2693" w:type="dxa"/>
            <w:gridSpan w:val="2"/>
            <w:noWrap w:val="0"/>
            <w:vAlign w:val="top"/>
          </w:tcPr>
          <w:p>
            <w:pPr>
              <w:pStyle w:val="29"/>
              <w:rPr>
                <w:rFonts w:hint="eastAsia" w:ascii="宋体" w:hAnsi="宋体" w:eastAsia="宋体" w:cs="宋体"/>
                <w:color w:val="000000"/>
                <w:sz w:val="20"/>
              </w:rPr>
            </w:pPr>
          </w:p>
        </w:tc>
        <w:tc>
          <w:tcPr>
            <w:tcW w:w="1126" w:type="dxa"/>
            <w:noWrap w:val="0"/>
            <w:vAlign w:val="top"/>
          </w:tcPr>
          <w:p>
            <w:pPr>
              <w:pStyle w:val="29"/>
              <w:spacing w:before="145" w:beforeLines="0"/>
              <w:ind w:left="8"/>
              <w:jc w:val="center"/>
              <w:rPr>
                <w:rFonts w:hint="eastAsia" w:ascii="宋体" w:hAnsi="宋体" w:eastAsia="宋体" w:cs="宋体"/>
                <w:color w:val="000000"/>
                <w:sz w:val="21"/>
              </w:rPr>
            </w:pPr>
            <w:r>
              <w:rPr>
                <w:rFonts w:hint="eastAsia" w:ascii="宋体" w:hAnsi="宋体" w:eastAsia="宋体" w:cs="宋体"/>
                <w:color w:val="000000"/>
                <w:sz w:val="21"/>
              </w:rPr>
              <w:t>电子邮件</w:t>
            </w:r>
          </w:p>
        </w:tc>
        <w:tc>
          <w:tcPr>
            <w:tcW w:w="2251" w:type="dxa"/>
            <w:gridSpan w:val="2"/>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8" w:type="dxa"/>
            <w:noWrap w:val="0"/>
            <w:vAlign w:val="top"/>
          </w:tcPr>
          <w:p>
            <w:pPr>
              <w:pStyle w:val="29"/>
              <w:spacing w:before="142" w:beforeLines="0"/>
              <w:ind w:left="158" w:right="149"/>
              <w:jc w:val="center"/>
              <w:rPr>
                <w:rFonts w:hint="eastAsia" w:ascii="宋体" w:hAnsi="宋体" w:eastAsia="宋体" w:cs="宋体"/>
                <w:color w:val="000000"/>
                <w:sz w:val="21"/>
              </w:rPr>
            </w:pPr>
            <w:r>
              <w:rPr>
                <w:rFonts w:hint="eastAsia" w:ascii="宋体" w:hAnsi="宋体" w:eastAsia="宋体" w:cs="宋体"/>
                <w:color w:val="000000"/>
                <w:sz w:val="21"/>
              </w:rPr>
              <w:t>法定代表人</w:t>
            </w:r>
          </w:p>
        </w:tc>
        <w:tc>
          <w:tcPr>
            <w:tcW w:w="1179" w:type="dxa"/>
            <w:noWrap w:val="0"/>
            <w:vAlign w:val="top"/>
          </w:tcPr>
          <w:p>
            <w:pPr>
              <w:pStyle w:val="29"/>
              <w:tabs>
                <w:tab w:val="left" w:pos="692"/>
              </w:tabs>
              <w:spacing w:before="142" w:beforeLines="0"/>
              <w:ind w:left="270"/>
              <w:rPr>
                <w:rFonts w:hint="eastAsia" w:ascii="宋体" w:hAnsi="宋体" w:eastAsia="宋体" w:cs="宋体"/>
                <w:color w:val="000000"/>
                <w:sz w:val="21"/>
              </w:rPr>
            </w:pPr>
            <w:r>
              <w:rPr>
                <w:rFonts w:hint="eastAsia" w:ascii="宋体" w:hAnsi="宋体" w:eastAsia="宋体" w:cs="宋体"/>
                <w:color w:val="000000"/>
                <w:sz w:val="21"/>
              </w:rPr>
              <w:t>姓</w:t>
            </w:r>
            <w:r>
              <w:rPr>
                <w:rFonts w:hint="eastAsia" w:ascii="宋体" w:hAnsi="宋体" w:eastAsia="宋体" w:cs="宋体"/>
                <w:color w:val="000000"/>
                <w:sz w:val="21"/>
              </w:rPr>
              <w:tab/>
            </w:r>
            <w:r>
              <w:rPr>
                <w:rFonts w:hint="eastAsia" w:ascii="宋体" w:hAnsi="宋体" w:eastAsia="宋体" w:cs="宋体"/>
                <w:color w:val="000000"/>
                <w:sz w:val="21"/>
              </w:rPr>
              <w:t>名</w:t>
            </w:r>
          </w:p>
        </w:tc>
        <w:tc>
          <w:tcPr>
            <w:tcW w:w="1135" w:type="dxa"/>
            <w:noWrap w:val="0"/>
            <w:vAlign w:val="top"/>
          </w:tcPr>
          <w:p>
            <w:pPr>
              <w:pStyle w:val="29"/>
              <w:rPr>
                <w:rFonts w:hint="eastAsia" w:ascii="宋体" w:hAnsi="宋体" w:eastAsia="宋体" w:cs="宋体"/>
                <w:color w:val="000000"/>
                <w:sz w:val="20"/>
              </w:rPr>
            </w:pPr>
          </w:p>
        </w:tc>
        <w:tc>
          <w:tcPr>
            <w:tcW w:w="1558" w:type="dxa"/>
            <w:noWrap w:val="0"/>
            <w:vAlign w:val="top"/>
          </w:tcPr>
          <w:p>
            <w:pPr>
              <w:pStyle w:val="29"/>
              <w:spacing w:before="142" w:beforeLines="0"/>
              <w:ind w:left="67" w:right="54"/>
              <w:jc w:val="center"/>
              <w:rPr>
                <w:rFonts w:hint="eastAsia" w:ascii="宋体" w:hAnsi="宋体" w:eastAsia="宋体" w:cs="宋体"/>
                <w:color w:val="000000"/>
                <w:sz w:val="21"/>
              </w:rPr>
            </w:pPr>
            <w:r>
              <w:rPr>
                <w:rFonts w:hint="eastAsia" w:ascii="宋体" w:hAnsi="宋体" w:eastAsia="宋体" w:cs="宋体"/>
                <w:color w:val="000000"/>
                <w:sz w:val="21"/>
              </w:rPr>
              <w:t>技术职称</w:t>
            </w:r>
          </w:p>
        </w:tc>
        <w:tc>
          <w:tcPr>
            <w:tcW w:w="1126" w:type="dxa"/>
            <w:noWrap w:val="0"/>
            <w:vAlign w:val="top"/>
          </w:tcPr>
          <w:p>
            <w:pPr>
              <w:pStyle w:val="29"/>
              <w:rPr>
                <w:rFonts w:hint="eastAsia" w:ascii="宋体" w:hAnsi="宋体" w:eastAsia="宋体" w:cs="宋体"/>
                <w:color w:val="000000"/>
                <w:sz w:val="20"/>
              </w:rPr>
            </w:pPr>
          </w:p>
        </w:tc>
        <w:tc>
          <w:tcPr>
            <w:tcW w:w="995" w:type="dxa"/>
            <w:noWrap w:val="0"/>
            <w:vAlign w:val="top"/>
          </w:tcPr>
          <w:p>
            <w:pPr>
              <w:pStyle w:val="29"/>
              <w:spacing w:before="142" w:beforeLines="0"/>
              <w:ind w:left="268" w:right="257"/>
              <w:jc w:val="center"/>
              <w:rPr>
                <w:rFonts w:hint="eastAsia" w:ascii="宋体" w:hAnsi="宋体" w:eastAsia="宋体" w:cs="宋体"/>
                <w:color w:val="000000"/>
                <w:sz w:val="21"/>
              </w:rPr>
            </w:pPr>
            <w:r>
              <w:rPr>
                <w:rFonts w:hint="eastAsia" w:ascii="宋体" w:hAnsi="宋体" w:eastAsia="宋体" w:cs="宋体"/>
                <w:color w:val="000000"/>
                <w:sz w:val="21"/>
              </w:rPr>
              <w:t>电话</w:t>
            </w:r>
          </w:p>
        </w:tc>
        <w:tc>
          <w:tcPr>
            <w:tcW w:w="1256" w:type="dxa"/>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8" w:type="dxa"/>
            <w:noWrap w:val="0"/>
            <w:vAlign w:val="top"/>
          </w:tcPr>
          <w:p>
            <w:pPr>
              <w:pStyle w:val="29"/>
              <w:spacing w:before="142" w:beforeLines="0"/>
              <w:ind w:left="158" w:right="149"/>
              <w:jc w:val="center"/>
              <w:rPr>
                <w:rFonts w:hint="eastAsia" w:ascii="宋体" w:hAnsi="宋体" w:eastAsia="宋体" w:cs="宋体"/>
                <w:color w:val="000000"/>
                <w:sz w:val="21"/>
              </w:rPr>
            </w:pPr>
            <w:r>
              <w:rPr>
                <w:rFonts w:hint="eastAsia" w:ascii="宋体" w:hAnsi="宋体" w:eastAsia="宋体" w:cs="宋体"/>
                <w:color w:val="000000"/>
                <w:sz w:val="21"/>
              </w:rPr>
              <w:t>技术负责人</w:t>
            </w:r>
          </w:p>
        </w:tc>
        <w:tc>
          <w:tcPr>
            <w:tcW w:w="1179" w:type="dxa"/>
            <w:noWrap w:val="0"/>
            <w:vAlign w:val="top"/>
          </w:tcPr>
          <w:p>
            <w:pPr>
              <w:pStyle w:val="29"/>
              <w:tabs>
                <w:tab w:val="left" w:pos="692"/>
              </w:tabs>
              <w:spacing w:before="142" w:beforeLines="0"/>
              <w:ind w:left="270"/>
              <w:rPr>
                <w:rFonts w:hint="eastAsia" w:ascii="宋体" w:hAnsi="宋体" w:eastAsia="宋体" w:cs="宋体"/>
                <w:color w:val="000000"/>
                <w:sz w:val="21"/>
              </w:rPr>
            </w:pPr>
            <w:r>
              <w:rPr>
                <w:rFonts w:hint="eastAsia" w:ascii="宋体" w:hAnsi="宋体" w:eastAsia="宋体" w:cs="宋体"/>
                <w:color w:val="000000"/>
                <w:sz w:val="21"/>
              </w:rPr>
              <w:t>姓</w:t>
            </w:r>
            <w:r>
              <w:rPr>
                <w:rFonts w:hint="eastAsia" w:ascii="宋体" w:hAnsi="宋体" w:eastAsia="宋体" w:cs="宋体"/>
                <w:color w:val="000000"/>
                <w:sz w:val="21"/>
              </w:rPr>
              <w:tab/>
            </w:r>
            <w:r>
              <w:rPr>
                <w:rFonts w:hint="eastAsia" w:ascii="宋体" w:hAnsi="宋体" w:eastAsia="宋体" w:cs="宋体"/>
                <w:color w:val="000000"/>
                <w:sz w:val="21"/>
              </w:rPr>
              <w:t>名</w:t>
            </w:r>
          </w:p>
        </w:tc>
        <w:tc>
          <w:tcPr>
            <w:tcW w:w="1135" w:type="dxa"/>
            <w:noWrap w:val="0"/>
            <w:vAlign w:val="top"/>
          </w:tcPr>
          <w:p>
            <w:pPr>
              <w:pStyle w:val="29"/>
              <w:rPr>
                <w:rFonts w:hint="eastAsia" w:ascii="宋体" w:hAnsi="宋体" w:eastAsia="宋体" w:cs="宋体"/>
                <w:color w:val="000000"/>
                <w:sz w:val="20"/>
              </w:rPr>
            </w:pPr>
          </w:p>
        </w:tc>
        <w:tc>
          <w:tcPr>
            <w:tcW w:w="1558" w:type="dxa"/>
            <w:noWrap w:val="0"/>
            <w:vAlign w:val="top"/>
          </w:tcPr>
          <w:p>
            <w:pPr>
              <w:pStyle w:val="29"/>
              <w:spacing w:before="142" w:beforeLines="0"/>
              <w:ind w:left="67" w:right="54"/>
              <w:jc w:val="center"/>
              <w:rPr>
                <w:rFonts w:hint="eastAsia" w:ascii="宋体" w:hAnsi="宋体" w:eastAsia="宋体" w:cs="宋体"/>
                <w:color w:val="000000"/>
                <w:sz w:val="21"/>
              </w:rPr>
            </w:pPr>
            <w:r>
              <w:rPr>
                <w:rFonts w:hint="eastAsia" w:ascii="宋体" w:hAnsi="宋体" w:eastAsia="宋体" w:cs="宋体"/>
                <w:color w:val="000000"/>
                <w:sz w:val="21"/>
              </w:rPr>
              <w:t>技术职称</w:t>
            </w:r>
          </w:p>
        </w:tc>
        <w:tc>
          <w:tcPr>
            <w:tcW w:w="1126" w:type="dxa"/>
            <w:noWrap w:val="0"/>
            <w:vAlign w:val="top"/>
          </w:tcPr>
          <w:p>
            <w:pPr>
              <w:pStyle w:val="29"/>
              <w:rPr>
                <w:rFonts w:hint="eastAsia" w:ascii="宋体" w:hAnsi="宋体" w:eastAsia="宋体" w:cs="宋体"/>
                <w:color w:val="000000"/>
                <w:sz w:val="20"/>
              </w:rPr>
            </w:pPr>
          </w:p>
        </w:tc>
        <w:tc>
          <w:tcPr>
            <w:tcW w:w="995" w:type="dxa"/>
            <w:noWrap w:val="0"/>
            <w:vAlign w:val="top"/>
          </w:tcPr>
          <w:p>
            <w:pPr>
              <w:pStyle w:val="29"/>
              <w:spacing w:before="142" w:beforeLines="0"/>
              <w:ind w:left="268" w:right="257"/>
              <w:jc w:val="center"/>
              <w:rPr>
                <w:rFonts w:hint="eastAsia" w:ascii="宋体" w:hAnsi="宋体" w:eastAsia="宋体" w:cs="宋体"/>
                <w:color w:val="000000"/>
                <w:sz w:val="21"/>
              </w:rPr>
            </w:pPr>
            <w:r>
              <w:rPr>
                <w:rFonts w:hint="eastAsia" w:ascii="宋体" w:hAnsi="宋体" w:eastAsia="宋体" w:cs="宋体"/>
                <w:color w:val="000000"/>
                <w:sz w:val="21"/>
              </w:rPr>
              <w:t>电话</w:t>
            </w:r>
          </w:p>
        </w:tc>
        <w:tc>
          <w:tcPr>
            <w:tcW w:w="1256" w:type="dxa"/>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8" w:type="dxa"/>
            <w:noWrap w:val="0"/>
            <w:vAlign w:val="top"/>
          </w:tcPr>
          <w:p>
            <w:pPr>
              <w:pStyle w:val="29"/>
              <w:spacing w:before="145" w:beforeLines="0"/>
              <w:ind w:left="158" w:right="149"/>
              <w:jc w:val="center"/>
              <w:rPr>
                <w:rFonts w:hint="eastAsia" w:ascii="宋体" w:hAnsi="宋体" w:eastAsia="宋体" w:cs="宋体"/>
                <w:color w:val="000000"/>
                <w:sz w:val="21"/>
              </w:rPr>
            </w:pPr>
            <w:r>
              <w:rPr>
                <w:rFonts w:hint="eastAsia" w:ascii="宋体" w:hAnsi="宋体" w:eastAsia="宋体" w:cs="宋体"/>
                <w:color w:val="000000"/>
                <w:sz w:val="21"/>
              </w:rPr>
              <w:t>成立时间</w:t>
            </w:r>
          </w:p>
        </w:tc>
        <w:tc>
          <w:tcPr>
            <w:tcW w:w="2314" w:type="dxa"/>
            <w:gridSpan w:val="2"/>
            <w:noWrap w:val="0"/>
            <w:vAlign w:val="top"/>
          </w:tcPr>
          <w:p>
            <w:pPr>
              <w:pStyle w:val="29"/>
              <w:rPr>
                <w:rFonts w:hint="eastAsia" w:ascii="宋体" w:hAnsi="宋体" w:eastAsia="宋体" w:cs="宋体"/>
                <w:color w:val="000000"/>
                <w:sz w:val="20"/>
              </w:rPr>
            </w:pPr>
          </w:p>
        </w:tc>
        <w:tc>
          <w:tcPr>
            <w:tcW w:w="1558" w:type="dxa"/>
            <w:noWrap w:val="0"/>
            <w:vAlign w:val="top"/>
          </w:tcPr>
          <w:p>
            <w:pPr>
              <w:pStyle w:val="29"/>
              <w:spacing w:before="145" w:beforeLines="0"/>
              <w:ind w:left="65" w:right="54"/>
              <w:jc w:val="center"/>
              <w:rPr>
                <w:rFonts w:hint="eastAsia" w:ascii="宋体" w:hAnsi="宋体" w:eastAsia="宋体" w:cs="宋体"/>
                <w:color w:val="000000"/>
                <w:sz w:val="21"/>
              </w:rPr>
            </w:pPr>
            <w:r>
              <w:rPr>
                <w:rFonts w:hint="eastAsia" w:ascii="宋体" w:hAnsi="宋体" w:eastAsia="宋体" w:cs="宋体"/>
                <w:color w:val="000000"/>
                <w:sz w:val="21"/>
              </w:rPr>
              <w:t>营业执照编号</w:t>
            </w:r>
          </w:p>
        </w:tc>
        <w:tc>
          <w:tcPr>
            <w:tcW w:w="3377" w:type="dxa"/>
            <w:gridSpan w:val="3"/>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798" w:type="dxa"/>
            <w:noWrap w:val="0"/>
            <w:vAlign w:val="top"/>
          </w:tcPr>
          <w:p>
            <w:pPr>
              <w:pStyle w:val="29"/>
              <w:spacing w:before="169" w:beforeLines="0" w:line="242" w:lineRule="auto"/>
              <w:ind w:left="791" w:right="149" w:hanging="629"/>
              <w:rPr>
                <w:rFonts w:hint="eastAsia" w:ascii="宋体" w:hAnsi="宋体" w:eastAsia="宋体" w:cs="宋体"/>
                <w:color w:val="000000"/>
                <w:sz w:val="21"/>
              </w:rPr>
            </w:pPr>
            <w:r>
              <w:rPr>
                <w:rFonts w:hint="eastAsia" w:ascii="宋体" w:hAnsi="宋体" w:eastAsia="宋体" w:cs="宋体"/>
                <w:color w:val="000000"/>
                <w:sz w:val="21"/>
              </w:rPr>
              <w:t>基本账户开户银行</w:t>
            </w:r>
          </w:p>
        </w:tc>
        <w:tc>
          <w:tcPr>
            <w:tcW w:w="2314" w:type="dxa"/>
            <w:gridSpan w:val="2"/>
            <w:noWrap w:val="0"/>
            <w:vAlign w:val="top"/>
          </w:tcPr>
          <w:p>
            <w:pPr>
              <w:pStyle w:val="29"/>
              <w:rPr>
                <w:rFonts w:hint="eastAsia" w:ascii="宋体" w:hAnsi="宋体" w:eastAsia="宋体" w:cs="宋体"/>
                <w:color w:val="000000"/>
                <w:sz w:val="20"/>
              </w:rPr>
            </w:pPr>
          </w:p>
        </w:tc>
        <w:tc>
          <w:tcPr>
            <w:tcW w:w="1558" w:type="dxa"/>
            <w:noWrap w:val="0"/>
            <w:vAlign w:val="top"/>
          </w:tcPr>
          <w:p>
            <w:pPr>
              <w:pStyle w:val="29"/>
              <w:spacing w:before="8" w:beforeLines="0"/>
              <w:rPr>
                <w:rFonts w:hint="eastAsia" w:ascii="宋体" w:hAnsi="宋体" w:eastAsia="宋体" w:cs="宋体"/>
                <w:b/>
                <w:color w:val="000000"/>
                <w:sz w:val="23"/>
              </w:rPr>
            </w:pPr>
          </w:p>
          <w:p>
            <w:pPr>
              <w:pStyle w:val="29"/>
              <w:ind w:left="65" w:right="54"/>
              <w:jc w:val="center"/>
              <w:rPr>
                <w:rFonts w:hint="eastAsia" w:ascii="宋体" w:hAnsi="宋体" w:eastAsia="宋体" w:cs="宋体"/>
                <w:color w:val="000000"/>
                <w:sz w:val="21"/>
              </w:rPr>
            </w:pPr>
            <w:r>
              <w:rPr>
                <w:rFonts w:hint="eastAsia" w:ascii="宋体" w:hAnsi="宋体" w:eastAsia="宋体" w:cs="宋体"/>
                <w:color w:val="000000"/>
                <w:sz w:val="21"/>
              </w:rPr>
              <w:t>基本账户账号</w:t>
            </w:r>
          </w:p>
        </w:tc>
        <w:tc>
          <w:tcPr>
            <w:tcW w:w="3377" w:type="dxa"/>
            <w:gridSpan w:val="3"/>
            <w:noWrap w:val="0"/>
            <w:vAlign w:val="top"/>
          </w:tcPr>
          <w:p>
            <w:pPr>
              <w:pStyle w:val="29"/>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8" w:type="dxa"/>
            <w:noWrap w:val="0"/>
            <w:vAlign w:val="top"/>
          </w:tcPr>
          <w:p>
            <w:pPr>
              <w:pStyle w:val="29"/>
              <w:spacing w:before="143" w:beforeLines="0"/>
              <w:ind w:left="158" w:right="149"/>
              <w:jc w:val="center"/>
              <w:rPr>
                <w:rFonts w:hint="eastAsia" w:ascii="宋体" w:hAnsi="宋体" w:eastAsia="宋体" w:cs="宋体"/>
                <w:color w:val="000000"/>
                <w:sz w:val="21"/>
              </w:rPr>
            </w:pPr>
            <w:r>
              <w:rPr>
                <w:rFonts w:hint="eastAsia" w:ascii="宋体" w:hAnsi="宋体" w:eastAsia="宋体" w:cs="宋体"/>
                <w:color w:val="000000"/>
                <w:sz w:val="21"/>
              </w:rPr>
              <w:t>经营范围</w:t>
            </w:r>
          </w:p>
        </w:tc>
        <w:tc>
          <w:tcPr>
            <w:tcW w:w="7249" w:type="dxa"/>
            <w:gridSpan w:val="6"/>
            <w:noWrap w:val="0"/>
            <w:vAlign w:val="top"/>
          </w:tcPr>
          <w:p>
            <w:pPr>
              <w:pStyle w:val="29"/>
              <w:rPr>
                <w:rFonts w:hint="eastAsia" w:ascii="宋体" w:hAnsi="宋体" w:eastAsia="宋体" w:cs="宋体"/>
                <w:color w:val="000000"/>
                <w:sz w:val="20"/>
              </w:rPr>
            </w:pPr>
          </w:p>
        </w:tc>
      </w:tr>
    </w:tbl>
    <w:p>
      <w:pPr>
        <w:pStyle w:val="14"/>
        <w:spacing w:before="7" w:beforeLines="0"/>
        <w:rPr>
          <w:b/>
          <w:color w:val="000000"/>
          <w:sz w:val="12"/>
        </w:rPr>
      </w:pPr>
    </w:p>
    <w:p>
      <w:pPr>
        <w:pStyle w:val="14"/>
        <w:spacing w:before="7" w:beforeLines="0"/>
        <w:rPr>
          <w:b/>
          <w:color w:val="000000"/>
          <w:sz w:val="36"/>
        </w:rPr>
      </w:pPr>
    </w:p>
    <w:p>
      <w:pPr>
        <w:pStyle w:val="14"/>
        <w:tabs>
          <w:tab w:val="left" w:pos="5586"/>
        </w:tabs>
        <w:spacing w:before="1" w:beforeLines="0"/>
        <w:ind w:firstLine="420" w:firstLineChars="200"/>
        <w:rPr>
          <w:rFonts w:hint="eastAsia"/>
          <w:color w:val="000000"/>
          <w:szCs w:val="22"/>
          <w:lang w:val="en-US" w:eastAsia="en-US" w:bidi="ar-SA"/>
        </w:rPr>
      </w:pPr>
      <w:r>
        <w:rPr>
          <w:rFonts w:hint="eastAsia"/>
          <w:color w:val="000000"/>
          <w:szCs w:val="22"/>
          <w:lang w:val="en-US" w:eastAsia="en-US" w:bidi="ar-SA"/>
        </w:rPr>
        <w:t xml:space="preserve">投标人： </w:t>
      </w:r>
      <w:r>
        <w:rPr>
          <w:rFonts w:hint="eastAsia"/>
          <w:color w:val="000000"/>
          <w:szCs w:val="22"/>
          <w:lang w:val="en-US" w:eastAsia="en-US" w:bidi="ar-SA"/>
        </w:rPr>
        <w:tab/>
      </w:r>
      <w:r>
        <w:rPr>
          <w:rFonts w:hint="eastAsia"/>
          <w:color w:val="000000"/>
          <w:szCs w:val="22"/>
          <w:lang w:val="en-US" w:eastAsia="en-US" w:bidi="ar-SA"/>
        </w:rPr>
        <w:t>（盖公章）</w:t>
      </w:r>
    </w:p>
    <w:p>
      <w:pPr>
        <w:pStyle w:val="14"/>
        <w:spacing w:before="12" w:beforeLines="0"/>
        <w:rPr>
          <w:rFonts w:hint="eastAsia"/>
          <w:color w:val="000000"/>
          <w:szCs w:val="22"/>
          <w:lang w:val="en-US" w:eastAsia="en-US" w:bidi="ar-SA"/>
        </w:rPr>
      </w:pPr>
    </w:p>
    <w:p>
      <w:pPr>
        <w:pStyle w:val="28"/>
        <w:tabs>
          <w:tab w:val="left" w:pos="1768"/>
        </w:tabs>
        <w:spacing w:before="173" w:beforeLines="0" w:line="360" w:lineRule="auto"/>
        <w:rPr>
          <w:rFonts w:hint="eastAsia" w:ascii="宋体" w:hAnsi="宋体" w:cs="宋体"/>
          <w:color w:val="000000"/>
          <w:sz w:val="21"/>
          <w:lang w:eastAsia="en-US"/>
        </w:rPr>
      </w:pPr>
      <w:r>
        <w:rPr>
          <w:rFonts w:hint="eastAsia" w:ascii="宋体" w:hAnsi="宋体" w:cs="宋体"/>
          <w:color w:val="000000"/>
          <w:sz w:val="21"/>
          <w:lang w:eastAsia="en-US"/>
        </w:rPr>
        <w:t>日期：  年  月   日</w:t>
      </w:r>
    </w:p>
    <w:p>
      <w:pPr>
        <w:pStyle w:val="14"/>
        <w:rPr>
          <w:rFonts w:hint="eastAsia"/>
          <w:color w:val="000000"/>
          <w:szCs w:val="22"/>
          <w:lang w:val="en-US" w:eastAsia="en-US" w:bidi="ar-SA"/>
        </w:rPr>
      </w:pPr>
    </w:p>
    <w:p>
      <w:pPr>
        <w:pStyle w:val="14"/>
        <w:spacing w:before="9" w:beforeLines="0"/>
        <w:rPr>
          <w:rFonts w:hint="eastAsia"/>
          <w:color w:val="000000"/>
          <w:szCs w:val="22"/>
          <w:lang w:val="en-US" w:eastAsia="en-US" w:bidi="ar-SA"/>
        </w:rPr>
      </w:pPr>
    </w:p>
    <w:p>
      <w:pPr>
        <w:spacing w:line="360" w:lineRule="auto"/>
        <w:ind w:left="440" w:leftChars="200"/>
        <w:rPr>
          <w:rFonts w:hint="eastAsia" w:ascii="宋体" w:hAnsi="宋体" w:cs="宋体"/>
          <w:color w:val="000000"/>
          <w:sz w:val="20"/>
          <w:szCs w:val="20"/>
          <w:lang w:eastAsia="en-US"/>
        </w:rPr>
      </w:pPr>
      <w:r>
        <w:rPr>
          <w:rFonts w:hint="eastAsia" w:ascii="宋体" w:hAnsi="宋体" w:cs="宋体"/>
          <w:color w:val="000000"/>
          <w:sz w:val="20"/>
          <w:szCs w:val="20"/>
          <w:lang w:eastAsia="en-US"/>
        </w:rPr>
        <w:t>注：各投标人按照自己的实际情况填写本表，于本表后附</w:t>
      </w:r>
    </w:p>
    <w:p>
      <w:pPr>
        <w:pStyle w:val="14"/>
        <w:spacing w:before="139" w:beforeLines="0" w:line="364" w:lineRule="auto"/>
        <w:ind w:left="418" w:leftChars="190" w:right="570" w:rightChars="259" w:firstLine="16" w:firstLineChars="8"/>
        <w:rPr>
          <w:rFonts w:hint="eastAsia"/>
          <w:color w:val="000000"/>
          <w:sz w:val="20"/>
          <w:szCs w:val="20"/>
          <w:lang w:val="en-US" w:eastAsia="en-US" w:bidi="ar-SA"/>
        </w:rPr>
      </w:pPr>
      <w:r>
        <w:rPr>
          <w:rFonts w:hint="eastAsia"/>
          <w:color w:val="000000"/>
          <w:sz w:val="20"/>
          <w:szCs w:val="20"/>
          <w:lang w:val="en-US" w:eastAsia="en-US" w:bidi="ar-SA"/>
        </w:rPr>
        <w:t>1有效期内的营业执照复印件；</w:t>
      </w:r>
    </w:p>
    <w:p>
      <w:pPr>
        <w:pStyle w:val="14"/>
        <w:spacing w:before="139" w:beforeLines="0" w:line="364" w:lineRule="auto"/>
        <w:ind w:left="418" w:leftChars="190" w:right="570" w:rightChars="259" w:firstLine="16" w:firstLineChars="8"/>
        <w:rPr>
          <w:rFonts w:hint="eastAsia"/>
          <w:color w:val="000000"/>
          <w:sz w:val="20"/>
          <w:szCs w:val="20"/>
          <w:lang w:val="en-US" w:eastAsia="en-US" w:bidi="ar-SA"/>
        </w:rPr>
      </w:pPr>
      <w:r>
        <w:rPr>
          <w:rFonts w:hint="eastAsia"/>
          <w:color w:val="000000"/>
          <w:sz w:val="20"/>
          <w:szCs w:val="20"/>
          <w:lang w:val="en-US" w:eastAsia="en-US" w:bidi="ar-SA"/>
        </w:rPr>
        <w:t>2有效期内的资质证书复印件；</w:t>
      </w:r>
    </w:p>
    <w:p>
      <w:pPr>
        <w:pStyle w:val="14"/>
        <w:spacing w:before="139" w:beforeLines="0" w:line="364" w:lineRule="auto"/>
        <w:ind w:left="418" w:leftChars="190" w:right="570" w:rightChars="259" w:firstLine="16" w:firstLineChars="8"/>
        <w:rPr>
          <w:rFonts w:hint="eastAsia"/>
          <w:color w:val="000000"/>
          <w:sz w:val="20"/>
          <w:szCs w:val="20"/>
          <w:lang w:val="en-US" w:eastAsia="en-US" w:bidi="ar-SA"/>
        </w:rPr>
      </w:pPr>
      <w:r>
        <w:rPr>
          <w:rFonts w:hint="eastAsia"/>
          <w:color w:val="000000"/>
          <w:sz w:val="20"/>
          <w:szCs w:val="20"/>
          <w:lang w:val="en-US" w:eastAsia="en-US" w:bidi="ar-SA"/>
        </w:rPr>
        <w:t>3有效期内的安全生产许可证复印件；</w:t>
      </w:r>
    </w:p>
    <w:p>
      <w:pPr>
        <w:rPr>
          <w:color w:val="000000"/>
        </w:rPr>
      </w:pPr>
    </w:p>
    <w:p>
      <w:pPr>
        <w:ind w:firstLine="480" w:firstLineChars="200"/>
        <w:rPr>
          <w:color w:val="000000"/>
          <w:sz w:val="24"/>
          <w:szCs w:val="24"/>
        </w:rPr>
      </w:pPr>
    </w:p>
    <w:p>
      <w:pPr>
        <w:ind w:firstLine="480" w:firstLineChars="200"/>
        <w:rPr>
          <w:color w:val="000000"/>
          <w:sz w:val="24"/>
          <w:szCs w:val="24"/>
        </w:rPr>
      </w:pPr>
    </w:p>
    <w:p>
      <w:pPr>
        <w:ind w:firstLine="480" w:firstLineChars="200"/>
        <w:rPr>
          <w:color w:val="000000"/>
          <w:sz w:val="24"/>
          <w:szCs w:val="24"/>
        </w:rPr>
      </w:pPr>
    </w:p>
    <w:p>
      <w:pPr>
        <w:ind w:firstLine="480" w:firstLineChars="200"/>
        <w:rPr>
          <w:color w:val="000000"/>
          <w:sz w:val="24"/>
          <w:szCs w:val="24"/>
        </w:rPr>
      </w:pPr>
    </w:p>
    <w:p>
      <w:pPr>
        <w:ind w:firstLine="480" w:firstLineChars="200"/>
        <w:rPr>
          <w:color w:val="000000"/>
          <w:sz w:val="24"/>
          <w:szCs w:val="24"/>
        </w:rPr>
      </w:pPr>
    </w:p>
    <w:p>
      <w:pPr>
        <w:ind w:firstLine="480" w:firstLineChars="200"/>
        <w:rPr>
          <w:color w:val="000000"/>
          <w:sz w:val="24"/>
          <w:szCs w:val="24"/>
        </w:rPr>
      </w:pPr>
    </w:p>
    <w:p>
      <w:pPr>
        <w:rPr>
          <w:rFonts w:hint="eastAsia"/>
          <w:b/>
          <w:color w:val="000000"/>
          <w:sz w:val="24"/>
        </w:rPr>
      </w:pPr>
      <w:r>
        <w:rPr>
          <w:rFonts w:hint="eastAsia" w:ascii="宋体" w:hAnsi="宋体" w:cs="宋体"/>
          <w:b/>
          <w:color w:val="000000"/>
          <w:sz w:val="30"/>
          <w:szCs w:val="30"/>
        </w:rPr>
        <w:t xml:space="preserve">2.投标人的资信业绩情况  </w:t>
      </w:r>
    </w:p>
    <w:p>
      <w:pPr>
        <w:spacing w:line="360" w:lineRule="auto"/>
        <w:ind w:firstLine="663" w:firstLineChars="300"/>
        <w:rPr>
          <w:b/>
          <w:bCs/>
          <w:color w:val="000000"/>
        </w:rPr>
      </w:pPr>
    </w:p>
    <w:p>
      <w:pPr>
        <w:numPr>
          <w:ilvl w:val="0"/>
          <w:numId w:val="0"/>
        </w:numPr>
        <w:spacing w:line="360" w:lineRule="auto"/>
        <w:rPr>
          <w:b/>
          <w:bCs/>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1</w:t>
      </w:r>
      <w:r>
        <w:rPr>
          <w:rFonts w:hint="eastAsia"/>
          <w:b/>
          <w:bCs/>
          <w:color w:val="000000"/>
          <w:sz w:val="24"/>
          <w:szCs w:val="24"/>
          <w:lang w:eastAsia="zh-CN"/>
        </w:rPr>
        <w:t>）</w:t>
      </w:r>
      <w:r>
        <w:rPr>
          <w:rFonts w:hint="eastAsia"/>
          <w:b/>
          <w:bCs/>
          <w:color w:val="000000"/>
          <w:sz w:val="24"/>
          <w:szCs w:val="24"/>
        </w:rPr>
        <w:t>企业资质</w:t>
      </w:r>
      <w:r>
        <w:rPr>
          <w:b/>
          <w:bCs/>
          <w:color w:val="000000"/>
          <w:sz w:val="24"/>
          <w:szCs w:val="24"/>
        </w:rPr>
        <w:t xml:space="preserve">等级为： </w:t>
      </w:r>
      <w:r>
        <w:rPr>
          <w:rFonts w:hint="eastAsia"/>
          <w:b/>
          <w:color w:val="000000"/>
          <w:sz w:val="24"/>
          <w:szCs w:val="24"/>
          <w:u w:val="single"/>
        </w:rPr>
        <w:t xml:space="preserve">                                </w:t>
      </w:r>
      <w:r>
        <w:rPr>
          <w:b/>
          <w:bCs/>
          <w:color w:val="000000"/>
          <w:sz w:val="24"/>
          <w:szCs w:val="24"/>
        </w:rPr>
        <w:t>。</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注：后附企业有效期内的资质证书复印件加盖公章。</w:t>
      </w:r>
    </w:p>
    <w:p>
      <w:pPr>
        <w:numPr>
          <w:ilvl w:val="0"/>
          <w:numId w:val="0"/>
        </w:numPr>
        <w:spacing w:line="360" w:lineRule="auto"/>
        <w:rPr>
          <w:rFonts w:hint="eastAsia"/>
          <w:b/>
          <w:bCs/>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2</w:t>
      </w:r>
      <w:r>
        <w:rPr>
          <w:rFonts w:hint="eastAsia"/>
          <w:b/>
          <w:bCs/>
          <w:color w:val="000000"/>
          <w:sz w:val="24"/>
          <w:szCs w:val="24"/>
          <w:lang w:eastAsia="zh-CN"/>
        </w:rPr>
        <w:t>）</w:t>
      </w:r>
      <w:r>
        <w:rPr>
          <w:rFonts w:hint="eastAsia"/>
          <w:b/>
          <w:bCs/>
          <w:color w:val="000000"/>
          <w:sz w:val="24"/>
          <w:szCs w:val="24"/>
        </w:rPr>
        <w:t>投标人获得企业信用等级评价为</w:t>
      </w:r>
      <w:r>
        <w:rPr>
          <w:rFonts w:hint="eastAsia"/>
          <w:b/>
          <w:bCs/>
          <w:color w:val="000000"/>
          <w:sz w:val="24"/>
          <w:szCs w:val="24"/>
          <w:lang w:val="zh-CN"/>
        </w:rPr>
        <w:t xml:space="preserve"> </w:t>
      </w:r>
      <w:r>
        <w:rPr>
          <w:b/>
          <w:bCs/>
          <w:color w:val="000000"/>
          <w:sz w:val="24"/>
          <w:szCs w:val="24"/>
        </w:rPr>
        <w:t xml:space="preserve">： </w:t>
      </w:r>
      <w:r>
        <w:rPr>
          <w:rFonts w:hint="eastAsia"/>
          <w:b/>
          <w:color w:val="000000"/>
          <w:sz w:val="24"/>
          <w:szCs w:val="24"/>
          <w:u w:val="single"/>
        </w:rPr>
        <w:t xml:space="preserve">                               </w:t>
      </w:r>
      <w:r>
        <w:rPr>
          <w:b/>
          <w:bCs/>
          <w:color w:val="000000"/>
          <w:sz w:val="24"/>
          <w:szCs w:val="24"/>
        </w:rPr>
        <w:t>。</w:t>
      </w:r>
      <w:r>
        <w:rPr>
          <w:rFonts w:hint="eastAsia"/>
          <w:b/>
          <w:bCs/>
          <w:color w:val="000000"/>
          <w:sz w:val="24"/>
          <w:szCs w:val="24"/>
        </w:rPr>
        <w:t xml:space="preserve">                             </w:t>
      </w:r>
      <w:r>
        <w:rPr>
          <w:rFonts w:hint="eastAsia"/>
          <w:b/>
          <w:bCs/>
          <w:color w:val="000000"/>
          <w:sz w:val="24"/>
          <w:szCs w:val="24"/>
          <w:lang w:val="zh-CN"/>
        </w:rPr>
        <w:t xml:space="preserve"> </w:t>
      </w:r>
      <w:r>
        <w:rPr>
          <w:rFonts w:hint="eastAsia"/>
          <w:b/>
          <w:bCs/>
          <w:color w:val="000000"/>
          <w:sz w:val="24"/>
          <w:szCs w:val="24"/>
        </w:rPr>
        <w:t xml:space="preserve">       </w:t>
      </w:r>
      <w:r>
        <w:rPr>
          <w:b/>
          <w:bCs/>
          <w:color w:val="000000"/>
          <w:sz w:val="24"/>
          <w:szCs w:val="24"/>
        </w:rPr>
        <w:t xml:space="preserve">           </w:t>
      </w:r>
      <w:r>
        <w:rPr>
          <w:rFonts w:hint="eastAsia"/>
          <w:b/>
          <w:bCs/>
          <w:color w:val="000000"/>
          <w:sz w:val="24"/>
          <w:szCs w:val="24"/>
        </w:rPr>
        <w:t xml:space="preserve">         </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 xml:space="preserve"> 注：后附相关证明材料</w:t>
      </w:r>
      <w:r>
        <w:rPr>
          <w:rFonts w:hint="eastAsia" w:ascii="宋体" w:hAnsi="宋体" w:cs="宋体"/>
          <w:color w:val="000000"/>
          <w:sz w:val="21"/>
          <w:szCs w:val="21"/>
          <w:lang w:eastAsia="zh-CN"/>
        </w:rPr>
        <w:t>作为评审依据。</w:t>
      </w:r>
    </w:p>
    <w:p>
      <w:pPr>
        <w:numPr>
          <w:ilvl w:val="0"/>
          <w:numId w:val="0"/>
        </w:numPr>
        <w:spacing w:line="360" w:lineRule="auto"/>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Times New Roman"/>
          <w:b/>
          <w:bCs/>
          <w:color w:val="000000"/>
          <w:sz w:val="24"/>
          <w:szCs w:val="24"/>
          <w:lang w:val="en-US" w:eastAsia="zh-CN"/>
        </w:rPr>
        <w:t>3</w:t>
      </w:r>
      <w:r>
        <w:rPr>
          <w:rFonts w:hint="eastAsia" w:ascii="Times New Roman" w:hAnsi="Times New Roman" w:eastAsia="宋体" w:cs="Times New Roman"/>
          <w:b/>
          <w:bCs/>
          <w:color w:val="000000"/>
          <w:sz w:val="24"/>
          <w:szCs w:val="24"/>
          <w:lang w:eastAsia="zh-CN"/>
        </w:rPr>
        <w:t>）施工单位业绩：</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9"/>
        <w:gridCol w:w="6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line="360" w:lineRule="auto"/>
              <w:ind w:right="253"/>
              <w:jc w:val="center"/>
              <w:rPr>
                <w:rFonts w:hint="eastAsia" w:ascii="宋体" w:hAnsi="宋体" w:eastAsia="宋体" w:cs="宋体"/>
                <w:color w:val="000000"/>
                <w:sz w:val="21"/>
              </w:rPr>
            </w:pPr>
            <w:r>
              <w:rPr>
                <w:rFonts w:hint="eastAsia" w:ascii="宋体" w:hAnsi="宋体" w:eastAsia="宋体" w:cs="宋体"/>
                <w:color w:val="000000"/>
                <w:sz w:val="21"/>
              </w:rPr>
              <w:t>序号</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before="178" w:beforeLines="0" w:line="360" w:lineRule="auto"/>
              <w:ind w:right="253"/>
              <w:jc w:val="center"/>
              <w:rPr>
                <w:rFonts w:hint="eastAsia" w:ascii="宋体" w:hAnsi="宋体" w:eastAsia="宋体" w:cs="宋体"/>
                <w:color w:val="000000"/>
                <w:sz w:val="21"/>
              </w:rPr>
            </w:pPr>
            <w:r>
              <w:rPr>
                <w:rFonts w:hint="eastAsia" w:ascii="宋体" w:hAnsi="宋体" w:eastAsia="宋体" w:cs="宋体"/>
                <w:color w:val="000000"/>
                <w:sz w:val="21"/>
              </w:rPr>
              <w:t>类别</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before="5" w:beforeLines="0" w:line="360" w:lineRule="auto"/>
              <w:jc w:val="center"/>
              <w:rPr>
                <w:rFonts w:hint="eastAsia" w:ascii="宋体" w:hAnsi="宋体" w:eastAsia="宋体" w:cs="宋体"/>
                <w:b/>
                <w:color w:val="000000"/>
                <w:sz w:val="15"/>
              </w:rPr>
            </w:pPr>
          </w:p>
          <w:p>
            <w:pPr>
              <w:pStyle w:val="29"/>
              <w:spacing w:line="360" w:lineRule="auto"/>
              <w:ind w:right="255"/>
              <w:jc w:val="center"/>
              <w:rPr>
                <w:rFonts w:hint="eastAsia" w:ascii="宋体" w:hAnsi="宋体" w:eastAsia="宋体" w:cs="宋体"/>
                <w:color w:val="000000"/>
                <w:sz w:val="21"/>
              </w:rPr>
            </w:pPr>
            <w:r>
              <w:rPr>
                <w:rFonts w:hint="eastAsia" w:ascii="宋体" w:hAnsi="宋体" w:eastAsia="宋体" w:cs="宋体"/>
                <w:color w:val="000000"/>
                <w:sz w:val="21"/>
              </w:rPr>
              <w:t>项目名称</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line="360" w:lineRule="auto"/>
              <w:ind w:right="255"/>
              <w:jc w:val="center"/>
              <w:rPr>
                <w:rFonts w:hint="eastAsia" w:ascii="宋体" w:hAnsi="宋体" w:eastAsia="宋体" w:cs="宋体"/>
                <w:color w:val="000000"/>
                <w:sz w:val="21"/>
              </w:rPr>
            </w:pPr>
            <w:r>
              <w:rPr>
                <w:rFonts w:hint="eastAsia" w:ascii="宋体" w:hAnsi="宋体" w:eastAsia="宋体" w:cs="宋体"/>
                <w:color w:val="000000"/>
                <w:sz w:val="21"/>
              </w:rPr>
              <w:t>项目所在地</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709" w:type="dxa"/>
            <w:noWrap w:val="0"/>
            <w:vAlign w:val="center"/>
          </w:tcPr>
          <w:p>
            <w:pPr>
              <w:pStyle w:val="29"/>
              <w:spacing w:line="360" w:lineRule="auto"/>
              <w:ind w:right="255"/>
              <w:jc w:val="center"/>
              <w:rPr>
                <w:rFonts w:hint="eastAsia" w:ascii="宋体" w:hAnsi="宋体" w:eastAsia="宋体" w:cs="宋体"/>
                <w:color w:val="000000"/>
                <w:sz w:val="21"/>
              </w:rPr>
            </w:pPr>
            <w:r>
              <w:rPr>
                <w:rFonts w:hint="eastAsia" w:ascii="宋体" w:hAnsi="宋体" w:eastAsia="宋体" w:cs="宋体"/>
                <w:color w:val="000000"/>
                <w:sz w:val="21"/>
              </w:rPr>
              <w:t>发包人名称</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line="360" w:lineRule="auto"/>
              <w:ind w:right="255"/>
              <w:jc w:val="center"/>
              <w:rPr>
                <w:rFonts w:hint="eastAsia" w:ascii="宋体" w:hAnsi="宋体" w:eastAsia="宋体" w:cs="宋体"/>
                <w:color w:val="000000"/>
                <w:sz w:val="21"/>
                <w:lang w:eastAsia="zh-CN"/>
              </w:rPr>
            </w:pPr>
            <w:r>
              <w:rPr>
                <w:rFonts w:hint="eastAsia" w:ascii="宋体" w:hAnsi="宋体" w:eastAsia="宋体" w:cs="宋体"/>
                <w:color w:val="000000"/>
                <w:sz w:val="21"/>
              </w:rPr>
              <w:t>合同</w:t>
            </w:r>
            <w:r>
              <w:rPr>
                <w:rFonts w:hint="eastAsia" w:ascii="宋体" w:hAnsi="宋体" w:eastAsia="宋体" w:cs="宋体"/>
                <w:color w:val="000000"/>
                <w:sz w:val="21"/>
                <w:lang w:eastAsia="zh-CN"/>
              </w:rPr>
              <w:t>总投资</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line="360" w:lineRule="auto"/>
              <w:ind w:right="255"/>
              <w:jc w:val="center"/>
              <w:rPr>
                <w:rFonts w:hint="eastAsia" w:ascii="宋体" w:hAnsi="宋体" w:eastAsia="宋体" w:cs="宋体"/>
                <w:color w:val="000000"/>
                <w:sz w:val="21"/>
              </w:rPr>
            </w:pPr>
            <w:r>
              <w:rPr>
                <w:rFonts w:hint="eastAsia" w:ascii="宋体" w:hAnsi="宋体" w:eastAsia="宋体" w:cs="宋体"/>
                <w:color w:val="000000"/>
                <w:sz w:val="21"/>
              </w:rPr>
              <w:t>建安费</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line="360" w:lineRule="auto"/>
              <w:ind w:right="255"/>
              <w:jc w:val="center"/>
              <w:rPr>
                <w:rFonts w:hint="eastAsia" w:ascii="宋体" w:hAnsi="宋体" w:eastAsia="宋体" w:cs="宋体"/>
                <w:color w:val="000000"/>
                <w:sz w:val="21"/>
              </w:rPr>
            </w:pPr>
            <w:r>
              <w:rPr>
                <w:rFonts w:hint="eastAsia" w:ascii="宋体" w:hAnsi="宋体" w:eastAsia="宋体" w:cs="宋体"/>
                <w:color w:val="000000"/>
                <w:sz w:val="21"/>
              </w:rPr>
              <w:t>承担的工作</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before="1" w:beforeLines="0" w:line="360" w:lineRule="auto"/>
              <w:ind w:right="255"/>
              <w:jc w:val="center"/>
              <w:rPr>
                <w:rFonts w:hint="eastAsia" w:ascii="宋体" w:hAnsi="宋体" w:eastAsia="宋体" w:cs="宋体"/>
                <w:color w:val="000000"/>
                <w:sz w:val="21"/>
              </w:rPr>
            </w:pPr>
            <w:r>
              <w:rPr>
                <w:rFonts w:hint="eastAsia" w:ascii="宋体" w:hAnsi="宋体" w:eastAsia="宋体" w:cs="宋体"/>
                <w:color w:val="000000"/>
                <w:sz w:val="21"/>
              </w:rPr>
              <w:t>工程质量</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line="360" w:lineRule="auto"/>
              <w:ind w:right="255"/>
              <w:jc w:val="center"/>
              <w:rPr>
                <w:rFonts w:hint="eastAsia" w:ascii="宋体" w:hAnsi="宋体" w:eastAsia="宋体" w:cs="宋体"/>
                <w:color w:val="000000"/>
                <w:sz w:val="21"/>
              </w:rPr>
            </w:pPr>
            <w:r>
              <w:rPr>
                <w:rFonts w:hint="eastAsia" w:ascii="宋体" w:hAnsi="宋体" w:eastAsia="宋体" w:cs="宋体"/>
                <w:color w:val="000000"/>
                <w:sz w:val="21"/>
              </w:rPr>
              <w:t>项目描述</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709" w:type="dxa"/>
            <w:noWrap w:val="0"/>
            <w:vAlign w:val="center"/>
          </w:tcPr>
          <w:p>
            <w:pPr>
              <w:pStyle w:val="29"/>
              <w:spacing w:line="360" w:lineRule="auto"/>
              <w:ind w:right="253"/>
              <w:jc w:val="center"/>
              <w:rPr>
                <w:rFonts w:hint="eastAsia" w:ascii="宋体" w:hAnsi="宋体" w:eastAsia="宋体" w:cs="宋体"/>
                <w:color w:val="000000"/>
                <w:sz w:val="21"/>
              </w:rPr>
            </w:pPr>
            <w:r>
              <w:rPr>
                <w:rFonts w:hint="eastAsia" w:ascii="宋体" w:hAnsi="宋体" w:eastAsia="宋体" w:cs="宋体"/>
                <w:color w:val="000000"/>
                <w:sz w:val="21"/>
              </w:rPr>
              <w:t>备注</w:t>
            </w:r>
          </w:p>
        </w:tc>
        <w:tc>
          <w:tcPr>
            <w:tcW w:w="6041" w:type="dxa"/>
            <w:noWrap w:val="0"/>
            <w:vAlign w:val="center"/>
          </w:tcPr>
          <w:p>
            <w:pPr>
              <w:pStyle w:val="29"/>
              <w:spacing w:line="360" w:lineRule="auto"/>
              <w:jc w:val="center"/>
              <w:rPr>
                <w:rFonts w:hint="eastAsia" w:ascii="宋体" w:hAnsi="宋体" w:eastAsia="宋体" w:cs="宋体"/>
                <w:color w:val="000000"/>
                <w:sz w:val="20"/>
              </w:rPr>
            </w:pPr>
          </w:p>
        </w:tc>
      </w:tr>
    </w:tbl>
    <w:p>
      <w:pPr>
        <w:spacing w:line="360" w:lineRule="auto"/>
        <w:rPr>
          <w:b/>
          <w:bCs/>
          <w:color w:val="000000"/>
        </w:rPr>
      </w:pP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1.每张表格只填写一个项目，并标明序号。</w:t>
      </w:r>
    </w:p>
    <w:p>
      <w:pPr>
        <w:spacing w:line="360" w:lineRule="auto"/>
        <w:ind w:firstLine="420" w:firstLineChars="200"/>
        <w:rPr>
          <w:rFonts w:hint="eastAsia" w:ascii="宋体" w:hAnsi="宋体" w:cs="宋体"/>
          <w:b/>
          <w:bCs/>
          <w:color w:val="auto"/>
          <w:sz w:val="21"/>
          <w:szCs w:val="21"/>
          <w:lang w:val="zh-CN"/>
        </w:rPr>
      </w:pPr>
      <w:r>
        <w:rPr>
          <w:rFonts w:hint="eastAsia" w:ascii="宋体" w:hAnsi="宋体" w:cs="宋体"/>
          <w:color w:val="auto"/>
          <w:sz w:val="21"/>
          <w:szCs w:val="21"/>
        </w:rPr>
        <w:t>2.注：</w:t>
      </w:r>
      <w:r>
        <w:rPr>
          <w:rFonts w:hint="eastAsia" w:ascii="宋体" w:hAnsi="宋体" w:cs="宋体"/>
          <w:color w:val="auto"/>
          <w:sz w:val="21"/>
          <w:szCs w:val="21"/>
          <w:highlight w:val="none"/>
        </w:rPr>
        <w:t>①时间以合同签订时间为准，工程费金额以合同为准，</w:t>
      </w:r>
      <w:r>
        <w:rPr>
          <w:rFonts w:hint="eastAsia" w:ascii="宋体" w:hAnsi="宋体" w:cs="宋体"/>
          <w:color w:val="auto"/>
          <w:sz w:val="21"/>
          <w:szCs w:val="21"/>
          <w:highlight w:val="none"/>
          <w:lang w:val="zh-CN"/>
        </w:rPr>
        <w:t>须同时提供中标通知书、施工合同</w:t>
      </w:r>
      <w:r>
        <w:rPr>
          <w:rFonts w:hint="eastAsia" w:ascii="宋体" w:hAnsi="宋体" w:cs="宋体"/>
          <w:color w:val="auto"/>
          <w:sz w:val="21"/>
          <w:szCs w:val="21"/>
          <w:highlight w:val="none"/>
        </w:rPr>
        <w:t>关键页</w:t>
      </w:r>
      <w:r>
        <w:rPr>
          <w:rFonts w:hint="eastAsia" w:ascii="宋体" w:hAnsi="宋体" w:cs="宋体"/>
          <w:color w:val="auto"/>
          <w:sz w:val="21"/>
          <w:szCs w:val="21"/>
          <w:highlight w:val="none"/>
          <w:lang w:val="zh-CN"/>
        </w:rPr>
        <w:t>等作证明资料。</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highlight w:val="none"/>
        </w:rPr>
        <w:t>3.如近年来，投标人法人机构发生合法</w:t>
      </w:r>
      <w:r>
        <w:rPr>
          <w:rFonts w:hint="eastAsia" w:ascii="宋体" w:hAnsi="宋体" w:cs="宋体"/>
          <w:color w:val="auto"/>
          <w:sz w:val="21"/>
          <w:szCs w:val="21"/>
        </w:rPr>
        <w:t>变更或重组或法人名称变更时，应提供相关部门的合法批件或其他相关证明材料来证明其所附业绩的继承性。</w:t>
      </w:r>
    </w:p>
    <w:p>
      <w:pPr>
        <w:spacing w:line="360" w:lineRule="auto"/>
        <w:ind w:firstLine="442" w:firstLineChars="200"/>
        <w:rPr>
          <w:rFonts w:hint="eastAsia"/>
          <w:b/>
          <w:bCs/>
          <w:color w:val="FF0000"/>
        </w:rPr>
      </w:pPr>
    </w:p>
    <w:p>
      <w:pPr>
        <w:pStyle w:val="2"/>
        <w:rPr>
          <w:rFonts w:hint="eastAsia"/>
          <w:b/>
          <w:bCs/>
          <w:color w:val="FF0000"/>
        </w:rPr>
      </w:pPr>
    </w:p>
    <w:p>
      <w:pPr>
        <w:pStyle w:val="2"/>
        <w:rPr>
          <w:rFonts w:hint="eastAsia"/>
          <w:b/>
          <w:bCs/>
          <w:color w:val="FF0000"/>
        </w:rPr>
      </w:pPr>
    </w:p>
    <w:p>
      <w:pPr>
        <w:spacing w:line="360" w:lineRule="auto"/>
        <w:ind w:firstLine="442" w:firstLineChars="200"/>
        <w:rPr>
          <w:rFonts w:hint="eastAsia"/>
          <w:b/>
          <w:bCs/>
          <w:color w:val="FF0000"/>
        </w:rPr>
      </w:pPr>
    </w:p>
    <w:p>
      <w:pPr>
        <w:numPr>
          <w:numId w:val="0"/>
        </w:numPr>
        <w:ind w:leftChars="200" w:right="0" w:rightChars="0"/>
        <w:rPr>
          <w:rFonts w:hint="eastAsia" w:ascii="宋体" w:hAnsi="宋体" w:eastAsia="宋体" w:cs="宋体"/>
          <w:b/>
          <w:color w:val="000000"/>
          <w:sz w:val="30"/>
          <w:szCs w:val="30"/>
        </w:rPr>
      </w:pPr>
      <w:r>
        <w:rPr>
          <w:rFonts w:hint="eastAsia" w:cs="宋体"/>
          <w:b/>
          <w:color w:val="000000"/>
          <w:sz w:val="30"/>
          <w:szCs w:val="30"/>
          <w:lang w:val="en-US" w:eastAsia="zh-CN"/>
        </w:rPr>
        <w:t>3.</w:t>
      </w:r>
      <w:r>
        <w:rPr>
          <w:rFonts w:hint="eastAsia" w:ascii="宋体" w:hAnsi="宋体" w:eastAsia="宋体" w:cs="宋体"/>
          <w:b/>
          <w:color w:val="000000"/>
          <w:sz w:val="30"/>
          <w:szCs w:val="30"/>
        </w:rPr>
        <w:t>相关获奖证书</w:t>
      </w:r>
    </w:p>
    <w:p>
      <w:pPr>
        <w:pStyle w:val="2"/>
        <w:numPr>
          <w:ilvl w:val="0"/>
          <w:numId w:val="0"/>
        </w:numPr>
        <w:ind w:leftChars="200"/>
        <w:rPr>
          <w:rFonts w:hint="eastAsia"/>
        </w:rPr>
      </w:pPr>
    </w:p>
    <w:tbl>
      <w:tblPr>
        <w:tblStyle w:val="23"/>
        <w:tblW w:w="0" w:type="auto"/>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2278"/>
        <w:gridCol w:w="2175"/>
        <w:gridCol w:w="1772"/>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256" w:type="dxa"/>
            <w:noWrap w:val="0"/>
            <w:vAlign w:val="center"/>
          </w:tcPr>
          <w:p>
            <w:pPr>
              <w:jc w:val="center"/>
              <w:rPr>
                <w:rFonts w:hint="eastAsia"/>
                <w:color w:val="auto"/>
                <w:sz w:val="21"/>
                <w:szCs w:val="21"/>
              </w:rPr>
            </w:pPr>
            <w:r>
              <w:rPr>
                <w:rFonts w:hint="eastAsia"/>
                <w:color w:val="auto"/>
                <w:sz w:val="21"/>
                <w:szCs w:val="21"/>
              </w:rPr>
              <w:t>序号</w:t>
            </w:r>
          </w:p>
        </w:tc>
        <w:tc>
          <w:tcPr>
            <w:tcW w:w="2278" w:type="dxa"/>
            <w:tcBorders>
              <w:right w:val="single" w:color="auto" w:sz="4" w:space="0"/>
            </w:tcBorders>
            <w:noWrap w:val="0"/>
            <w:vAlign w:val="center"/>
          </w:tcPr>
          <w:p>
            <w:pPr>
              <w:jc w:val="center"/>
              <w:rPr>
                <w:rFonts w:hint="eastAsia"/>
                <w:color w:val="auto"/>
                <w:sz w:val="21"/>
                <w:szCs w:val="21"/>
              </w:rPr>
            </w:pPr>
            <w:r>
              <w:rPr>
                <w:rFonts w:hint="eastAsia"/>
                <w:color w:val="auto"/>
                <w:sz w:val="21"/>
                <w:szCs w:val="21"/>
              </w:rPr>
              <w:t>嘉奖荣誉</w:t>
            </w:r>
          </w:p>
        </w:tc>
        <w:tc>
          <w:tcPr>
            <w:tcW w:w="2175" w:type="dxa"/>
            <w:tcBorders>
              <w:left w:val="single" w:color="auto" w:sz="4" w:space="0"/>
              <w:right w:val="single" w:color="auto" w:sz="4" w:space="0"/>
            </w:tcBorders>
            <w:noWrap w:val="0"/>
            <w:vAlign w:val="center"/>
          </w:tcPr>
          <w:p>
            <w:pPr>
              <w:jc w:val="center"/>
              <w:rPr>
                <w:rFonts w:hint="eastAsia"/>
                <w:color w:val="auto"/>
                <w:sz w:val="21"/>
                <w:szCs w:val="21"/>
              </w:rPr>
            </w:pPr>
            <w:r>
              <w:rPr>
                <w:rFonts w:hint="eastAsia"/>
                <w:color w:val="auto"/>
                <w:sz w:val="21"/>
                <w:szCs w:val="21"/>
              </w:rPr>
              <w:t>获奖年度</w:t>
            </w:r>
          </w:p>
        </w:tc>
        <w:tc>
          <w:tcPr>
            <w:tcW w:w="1772" w:type="dxa"/>
            <w:tcBorders>
              <w:left w:val="single" w:color="auto" w:sz="4" w:space="0"/>
              <w:right w:val="single" w:color="auto" w:sz="4" w:space="0"/>
            </w:tcBorders>
            <w:noWrap w:val="0"/>
            <w:vAlign w:val="center"/>
          </w:tcPr>
          <w:p>
            <w:pPr>
              <w:jc w:val="center"/>
              <w:rPr>
                <w:rFonts w:hint="eastAsia"/>
                <w:color w:val="auto"/>
                <w:sz w:val="21"/>
                <w:szCs w:val="21"/>
              </w:rPr>
            </w:pPr>
            <w:r>
              <w:rPr>
                <w:rFonts w:hint="eastAsia"/>
                <w:color w:val="auto"/>
                <w:sz w:val="21"/>
                <w:szCs w:val="21"/>
              </w:rPr>
              <w:t>嘉奖单位</w:t>
            </w:r>
          </w:p>
        </w:tc>
        <w:tc>
          <w:tcPr>
            <w:tcW w:w="1538" w:type="dxa"/>
            <w:tcBorders>
              <w:left w:val="single" w:color="auto" w:sz="4" w:space="0"/>
            </w:tcBorders>
            <w:noWrap w:val="0"/>
            <w:vAlign w:val="center"/>
          </w:tcPr>
          <w:p>
            <w:pPr>
              <w:jc w:val="center"/>
              <w:rPr>
                <w:rFonts w:hint="eastAsia"/>
                <w:color w:val="auto"/>
                <w:sz w:val="21"/>
                <w:szCs w:val="21"/>
              </w:rPr>
            </w:pPr>
            <w:r>
              <w:rPr>
                <w:rFonts w:hint="eastAsia"/>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56" w:type="dxa"/>
            <w:noWrap w:val="0"/>
            <w:vAlign w:val="center"/>
          </w:tcPr>
          <w:p>
            <w:pPr>
              <w:jc w:val="center"/>
              <w:rPr>
                <w:rFonts w:hint="eastAsia"/>
                <w:color w:val="auto"/>
                <w:sz w:val="21"/>
                <w:szCs w:val="21"/>
              </w:rPr>
            </w:pPr>
            <w:r>
              <w:rPr>
                <w:rFonts w:hint="eastAsia"/>
                <w:color w:val="auto"/>
                <w:sz w:val="21"/>
                <w:szCs w:val="21"/>
              </w:rPr>
              <w:t>1</w:t>
            </w:r>
          </w:p>
        </w:tc>
        <w:tc>
          <w:tcPr>
            <w:tcW w:w="2278" w:type="dxa"/>
            <w:tcBorders>
              <w:right w:val="single" w:color="auto" w:sz="4" w:space="0"/>
            </w:tcBorders>
            <w:noWrap w:val="0"/>
            <w:vAlign w:val="center"/>
          </w:tcPr>
          <w:p>
            <w:pPr>
              <w:jc w:val="center"/>
              <w:rPr>
                <w:rFonts w:hint="eastAsia"/>
                <w:color w:val="auto"/>
                <w:sz w:val="21"/>
                <w:szCs w:val="21"/>
              </w:rPr>
            </w:pPr>
          </w:p>
        </w:tc>
        <w:tc>
          <w:tcPr>
            <w:tcW w:w="2175" w:type="dxa"/>
            <w:tcBorders>
              <w:left w:val="single" w:color="auto" w:sz="4" w:space="0"/>
              <w:right w:val="single" w:color="auto" w:sz="4" w:space="0"/>
            </w:tcBorders>
            <w:noWrap w:val="0"/>
            <w:vAlign w:val="center"/>
          </w:tcPr>
          <w:p>
            <w:pPr>
              <w:jc w:val="center"/>
              <w:rPr>
                <w:rFonts w:hint="eastAsia"/>
                <w:color w:val="auto"/>
                <w:sz w:val="21"/>
                <w:szCs w:val="21"/>
              </w:rPr>
            </w:pPr>
          </w:p>
        </w:tc>
        <w:tc>
          <w:tcPr>
            <w:tcW w:w="1772" w:type="dxa"/>
            <w:tcBorders>
              <w:left w:val="single" w:color="auto" w:sz="4" w:space="0"/>
              <w:right w:val="single" w:color="auto" w:sz="4" w:space="0"/>
            </w:tcBorders>
            <w:noWrap w:val="0"/>
            <w:vAlign w:val="center"/>
          </w:tcPr>
          <w:p>
            <w:pPr>
              <w:jc w:val="center"/>
              <w:rPr>
                <w:rFonts w:hint="eastAsia"/>
                <w:color w:val="auto"/>
                <w:sz w:val="21"/>
                <w:szCs w:val="21"/>
              </w:rPr>
            </w:pPr>
          </w:p>
        </w:tc>
        <w:tc>
          <w:tcPr>
            <w:tcW w:w="1538" w:type="dxa"/>
            <w:tcBorders>
              <w:left w:val="single" w:color="auto" w:sz="4" w:space="0"/>
            </w:tcBorders>
            <w:noWrap w:val="0"/>
            <w:vAlign w:val="center"/>
          </w:tcPr>
          <w:p>
            <w:pPr>
              <w:jc w:val="center"/>
              <w:rPr>
                <w:rFonts w:hint="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56" w:type="dxa"/>
            <w:noWrap w:val="0"/>
            <w:vAlign w:val="center"/>
          </w:tcPr>
          <w:p>
            <w:pPr>
              <w:jc w:val="center"/>
              <w:rPr>
                <w:rFonts w:hint="eastAsia"/>
                <w:color w:val="auto"/>
                <w:sz w:val="21"/>
                <w:szCs w:val="21"/>
              </w:rPr>
            </w:pPr>
            <w:r>
              <w:rPr>
                <w:rFonts w:hint="eastAsia"/>
                <w:color w:val="auto"/>
                <w:sz w:val="21"/>
                <w:szCs w:val="21"/>
              </w:rPr>
              <w:t>2</w:t>
            </w:r>
          </w:p>
        </w:tc>
        <w:tc>
          <w:tcPr>
            <w:tcW w:w="2278" w:type="dxa"/>
            <w:tcBorders>
              <w:right w:val="single" w:color="auto" w:sz="4" w:space="0"/>
            </w:tcBorders>
            <w:noWrap w:val="0"/>
            <w:vAlign w:val="center"/>
          </w:tcPr>
          <w:p>
            <w:pPr>
              <w:jc w:val="center"/>
              <w:rPr>
                <w:rFonts w:hint="eastAsia"/>
                <w:color w:val="auto"/>
                <w:sz w:val="21"/>
                <w:szCs w:val="21"/>
              </w:rPr>
            </w:pPr>
          </w:p>
        </w:tc>
        <w:tc>
          <w:tcPr>
            <w:tcW w:w="2175" w:type="dxa"/>
            <w:tcBorders>
              <w:left w:val="single" w:color="auto" w:sz="4" w:space="0"/>
              <w:right w:val="single" w:color="auto" w:sz="4" w:space="0"/>
            </w:tcBorders>
            <w:noWrap w:val="0"/>
            <w:vAlign w:val="center"/>
          </w:tcPr>
          <w:p>
            <w:pPr>
              <w:jc w:val="center"/>
              <w:rPr>
                <w:rFonts w:hint="eastAsia"/>
                <w:color w:val="auto"/>
                <w:sz w:val="21"/>
                <w:szCs w:val="21"/>
              </w:rPr>
            </w:pPr>
          </w:p>
        </w:tc>
        <w:tc>
          <w:tcPr>
            <w:tcW w:w="1772" w:type="dxa"/>
            <w:tcBorders>
              <w:left w:val="single" w:color="auto" w:sz="4" w:space="0"/>
              <w:right w:val="single" w:color="auto" w:sz="4" w:space="0"/>
            </w:tcBorders>
            <w:noWrap w:val="0"/>
            <w:vAlign w:val="center"/>
          </w:tcPr>
          <w:p>
            <w:pPr>
              <w:jc w:val="center"/>
              <w:rPr>
                <w:rFonts w:hint="eastAsia"/>
                <w:color w:val="auto"/>
                <w:sz w:val="21"/>
                <w:szCs w:val="21"/>
              </w:rPr>
            </w:pPr>
          </w:p>
        </w:tc>
        <w:tc>
          <w:tcPr>
            <w:tcW w:w="1538" w:type="dxa"/>
            <w:tcBorders>
              <w:left w:val="single" w:color="auto" w:sz="4" w:space="0"/>
            </w:tcBorders>
            <w:noWrap w:val="0"/>
            <w:vAlign w:val="center"/>
          </w:tcPr>
          <w:p>
            <w:pPr>
              <w:jc w:val="center"/>
              <w:rPr>
                <w:rFonts w:hint="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56" w:type="dxa"/>
            <w:noWrap w:val="0"/>
            <w:vAlign w:val="center"/>
          </w:tcPr>
          <w:p>
            <w:pPr>
              <w:jc w:val="center"/>
              <w:rPr>
                <w:rFonts w:hint="eastAsia"/>
                <w:color w:val="auto"/>
                <w:sz w:val="21"/>
                <w:szCs w:val="21"/>
              </w:rPr>
            </w:pPr>
            <w:r>
              <w:rPr>
                <w:rFonts w:hint="eastAsia"/>
                <w:color w:val="auto"/>
                <w:sz w:val="21"/>
                <w:szCs w:val="21"/>
              </w:rPr>
              <w:t>3</w:t>
            </w:r>
          </w:p>
        </w:tc>
        <w:tc>
          <w:tcPr>
            <w:tcW w:w="2278" w:type="dxa"/>
            <w:tcBorders>
              <w:right w:val="single" w:color="auto" w:sz="4" w:space="0"/>
            </w:tcBorders>
            <w:noWrap w:val="0"/>
            <w:vAlign w:val="center"/>
          </w:tcPr>
          <w:p>
            <w:pPr>
              <w:jc w:val="center"/>
              <w:rPr>
                <w:rFonts w:hint="eastAsia"/>
                <w:color w:val="auto"/>
                <w:sz w:val="21"/>
                <w:szCs w:val="21"/>
              </w:rPr>
            </w:pPr>
          </w:p>
        </w:tc>
        <w:tc>
          <w:tcPr>
            <w:tcW w:w="2175" w:type="dxa"/>
            <w:tcBorders>
              <w:left w:val="single" w:color="auto" w:sz="4" w:space="0"/>
              <w:right w:val="single" w:color="auto" w:sz="4" w:space="0"/>
            </w:tcBorders>
            <w:noWrap w:val="0"/>
            <w:vAlign w:val="center"/>
          </w:tcPr>
          <w:p>
            <w:pPr>
              <w:jc w:val="center"/>
              <w:rPr>
                <w:rFonts w:hint="eastAsia"/>
                <w:color w:val="auto"/>
                <w:sz w:val="21"/>
                <w:szCs w:val="21"/>
              </w:rPr>
            </w:pPr>
          </w:p>
        </w:tc>
        <w:tc>
          <w:tcPr>
            <w:tcW w:w="1772" w:type="dxa"/>
            <w:tcBorders>
              <w:left w:val="single" w:color="auto" w:sz="4" w:space="0"/>
              <w:right w:val="single" w:color="auto" w:sz="4" w:space="0"/>
            </w:tcBorders>
            <w:noWrap w:val="0"/>
            <w:vAlign w:val="center"/>
          </w:tcPr>
          <w:p>
            <w:pPr>
              <w:jc w:val="center"/>
              <w:rPr>
                <w:rFonts w:hint="eastAsia"/>
                <w:color w:val="auto"/>
                <w:sz w:val="21"/>
                <w:szCs w:val="21"/>
              </w:rPr>
            </w:pPr>
          </w:p>
        </w:tc>
        <w:tc>
          <w:tcPr>
            <w:tcW w:w="1538" w:type="dxa"/>
            <w:tcBorders>
              <w:left w:val="single" w:color="auto" w:sz="4" w:space="0"/>
            </w:tcBorders>
            <w:noWrap w:val="0"/>
            <w:vAlign w:val="center"/>
          </w:tcPr>
          <w:p>
            <w:pPr>
              <w:jc w:val="center"/>
              <w:rPr>
                <w:rFonts w:hint="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56" w:type="dxa"/>
            <w:noWrap w:val="0"/>
            <w:vAlign w:val="center"/>
          </w:tcPr>
          <w:p>
            <w:pPr>
              <w:jc w:val="center"/>
              <w:rPr>
                <w:rFonts w:hint="eastAsia"/>
                <w:color w:val="auto"/>
                <w:sz w:val="21"/>
                <w:szCs w:val="21"/>
              </w:rPr>
            </w:pPr>
            <w:r>
              <w:rPr>
                <w:rFonts w:hint="eastAsia"/>
                <w:color w:val="auto"/>
                <w:sz w:val="21"/>
                <w:szCs w:val="21"/>
              </w:rPr>
              <w:t>4</w:t>
            </w:r>
          </w:p>
        </w:tc>
        <w:tc>
          <w:tcPr>
            <w:tcW w:w="2278" w:type="dxa"/>
            <w:tcBorders>
              <w:right w:val="single" w:color="auto" w:sz="4" w:space="0"/>
            </w:tcBorders>
            <w:noWrap w:val="0"/>
            <w:vAlign w:val="center"/>
          </w:tcPr>
          <w:p>
            <w:pPr>
              <w:jc w:val="center"/>
              <w:rPr>
                <w:rFonts w:hint="eastAsia"/>
                <w:color w:val="auto"/>
                <w:sz w:val="21"/>
                <w:szCs w:val="21"/>
              </w:rPr>
            </w:pPr>
          </w:p>
        </w:tc>
        <w:tc>
          <w:tcPr>
            <w:tcW w:w="2175" w:type="dxa"/>
            <w:tcBorders>
              <w:left w:val="single" w:color="auto" w:sz="4" w:space="0"/>
              <w:right w:val="single" w:color="auto" w:sz="4" w:space="0"/>
            </w:tcBorders>
            <w:noWrap w:val="0"/>
            <w:vAlign w:val="center"/>
          </w:tcPr>
          <w:p>
            <w:pPr>
              <w:jc w:val="center"/>
              <w:rPr>
                <w:rFonts w:hint="eastAsia"/>
                <w:color w:val="auto"/>
                <w:sz w:val="21"/>
                <w:szCs w:val="21"/>
              </w:rPr>
            </w:pPr>
          </w:p>
        </w:tc>
        <w:tc>
          <w:tcPr>
            <w:tcW w:w="1772" w:type="dxa"/>
            <w:tcBorders>
              <w:left w:val="single" w:color="auto" w:sz="4" w:space="0"/>
              <w:right w:val="single" w:color="auto" w:sz="4" w:space="0"/>
            </w:tcBorders>
            <w:noWrap w:val="0"/>
            <w:vAlign w:val="center"/>
          </w:tcPr>
          <w:p>
            <w:pPr>
              <w:jc w:val="center"/>
              <w:rPr>
                <w:rFonts w:hint="eastAsia"/>
                <w:color w:val="auto"/>
                <w:sz w:val="21"/>
                <w:szCs w:val="21"/>
              </w:rPr>
            </w:pPr>
          </w:p>
        </w:tc>
        <w:tc>
          <w:tcPr>
            <w:tcW w:w="1538" w:type="dxa"/>
            <w:tcBorders>
              <w:left w:val="single" w:color="auto" w:sz="4" w:space="0"/>
            </w:tcBorders>
            <w:noWrap w:val="0"/>
            <w:vAlign w:val="center"/>
          </w:tcPr>
          <w:p>
            <w:pPr>
              <w:jc w:val="center"/>
              <w:rPr>
                <w:rFonts w:hint="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56" w:type="dxa"/>
            <w:noWrap w:val="0"/>
            <w:vAlign w:val="center"/>
          </w:tcPr>
          <w:p>
            <w:pPr>
              <w:jc w:val="center"/>
              <w:rPr>
                <w:color w:val="auto"/>
                <w:sz w:val="21"/>
                <w:szCs w:val="21"/>
              </w:rPr>
            </w:pPr>
            <w:r>
              <w:rPr>
                <w:rFonts w:hint="eastAsia"/>
                <w:color w:val="auto"/>
                <w:sz w:val="21"/>
                <w:szCs w:val="21"/>
              </w:rPr>
              <w:t>5</w:t>
            </w:r>
          </w:p>
        </w:tc>
        <w:tc>
          <w:tcPr>
            <w:tcW w:w="2278" w:type="dxa"/>
            <w:tcBorders>
              <w:right w:val="single" w:color="auto" w:sz="4" w:space="0"/>
            </w:tcBorders>
            <w:noWrap w:val="0"/>
            <w:vAlign w:val="center"/>
          </w:tcPr>
          <w:p>
            <w:pPr>
              <w:jc w:val="center"/>
              <w:rPr>
                <w:rFonts w:hint="eastAsia"/>
                <w:color w:val="auto"/>
                <w:sz w:val="21"/>
                <w:szCs w:val="21"/>
              </w:rPr>
            </w:pPr>
          </w:p>
        </w:tc>
        <w:tc>
          <w:tcPr>
            <w:tcW w:w="2175" w:type="dxa"/>
            <w:tcBorders>
              <w:left w:val="single" w:color="auto" w:sz="4" w:space="0"/>
              <w:right w:val="single" w:color="auto" w:sz="4" w:space="0"/>
            </w:tcBorders>
            <w:noWrap w:val="0"/>
            <w:vAlign w:val="center"/>
          </w:tcPr>
          <w:p>
            <w:pPr>
              <w:jc w:val="center"/>
              <w:rPr>
                <w:rFonts w:hint="eastAsia"/>
                <w:color w:val="auto"/>
                <w:sz w:val="21"/>
                <w:szCs w:val="21"/>
              </w:rPr>
            </w:pPr>
          </w:p>
        </w:tc>
        <w:tc>
          <w:tcPr>
            <w:tcW w:w="1772" w:type="dxa"/>
            <w:tcBorders>
              <w:left w:val="single" w:color="auto" w:sz="4" w:space="0"/>
              <w:right w:val="single" w:color="auto" w:sz="4" w:space="0"/>
            </w:tcBorders>
            <w:noWrap w:val="0"/>
            <w:vAlign w:val="center"/>
          </w:tcPr>
          <w:p>
            <w:pPr>
              <w:jc w:val="center"/>
              <w:rPr>
                <w:rFonts w:hint="eastAsia"/>
                <w:color w:val="auto"/>
                <w:sz w:val="21"/>
                <w:szCs w:val="21"/>
              </w:rPr>
            </w:pPr>
          </w:p>
        </w:tc>
        <w:tc>
          <w:tcPr>
            <w:tcW w:w="1538" w:type="dxa"/>
            <w:tcBorders>
              <w:left w:val="single" w:color="auto" w:sz="4" w:space="0"/>
            </w:tcBorders>
            <w:noWrap w:val="0"/>
            <w:vAlign w:val="center"/>
          </w:tcPr>
          <w:p>
            <w:pPr>
              <w:jc w:val="center"/>
              <w:rPr>
                <w:rFonts w:hint="eastAsia"/>
                <w:color w:val="auto"/>
                <w:sz w:val="21"/>
                <w:szCs w:val="21"/>
              </w:rPr>
            </w:pP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w:t>
      </w:r>
    </w:p>
    <w:p>
      <w:pPr>
        <w:keepNext w:val="0"/>
        <w:keepLines w:val="0"/>
        <w:pageBreakBefore w:val="0"/>
        <w:widowControl/>
        <w:numPr>
          <w:ilvl w:val="0"/>
          <w:numId w:val="26"/>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eastAsia="宋体" w:cs="宋体"/>
          <w:color w:val="auto"/>
          <w:sz w:val="21"/>
          <w:szCs w:val="21"/>
          <w:lang w:eastAsia="zh-CN"/>
        </w:rPr>
        <w:t>本表后附获奖证书复印件加盖公章。</w:t>
      </w:r>
    </w:p>
    <w:p>
      <w:pPr>
        <w:keepNext w:val="0"/>
        <w:keepLines w:val="0"/>
        <w:pageBreakBefore w:val="0"/>
        <w:widowControl/>
        <w:numPr>
          <w:ilvl w:val="0"/>
          <w:numId w:val="26"/>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如近年来，投标人法人机构发生合法变更或重组或法人名称变更时，应提供相关部门的合法批件或其他相关证明材料来证明其所附业绩的继承性。</w:t>
      </w:r>
    </w:p>
    <w:p>
      <w:pPr>
        <w:spacing w:line="360" w:lineRule="auto"/>
        <w:ind w:firstLine="420" w:firstLineChars="200"/>
        <w:jc w:val="center"/>
        <w:rPr>
          <w:rFonts w:hint="eastAsia" w:ascii="宋体" w:hAnsi="宋体" w:cs="宋体"/>
          <w:color w:val="auto"/>
          <w:sz w:val="21"/>
          <w:szCs w:val="21"/>
        </w:rPr>
      </w:pPr>
      <w:r>
        <w:rPr>
          <w:rFonts w:hint="eastAsia" w:ascii="宋体" w:hAnsi="宋体" w:cs="宋体"/>
          <w:color w:val="auto"/>
          <w:sz w:val="21"/>
          <w:szCs w:val="21"/>
        </w:rPr>
        <w:t xml:space="preserve">                       </w:t>
      </w:r>
    </w:p>
    <w:p>
      <w:pPr>
        <w:spacing w:line="360" w:lineRule="auto"/>
        <w:ind w:firstLine="420" w:firstLineChars="200"/>
        <w:jc w:val="center"/>
        <w:rPr>
          <w:rFonts w:hint="eastAsia" w:ascii="宋体" w:hAnsi="宋体" w:cs="宋体"/>
          <w:color w:val="auto"/>
          <w:sz w:val="21"/>
          <w:szCs w:val="21"/>
        </w:rPr>
      </w:pPr>
    </w:p>
    <w:p>
      <w:pPr>
        <w:spacing w:line="360" w:lineRule="auto"/>
        <w:ind w:firstLine="420" w:firstLineChars="200"/>
        <w:jc w:val="center"/>
        <w:rPr>
          <w:rFonts w:hint="eastAsia" w:ascii="宋体" w:hAnsi="宋体" w:cs="宋体"/>
          <w:color w:val="auto"/>
          <w:sz w:val="21"/>
          <w:szCs w:val="21"/>
        </w:rPr>
      </w:pPr>
    </w:p>
    <w:p>
      <w:pPr>
        <w:spacing w:line="360" w:lineRule="auto"/>
        <w:ind w:firstLine="420" w:firstLineChars="200"/>
        <w:jc w:val="both"/>
        <w:rPr>
          <w:rFonts w:hint="eastAsia" w:ascii="宋体" w:hAnsi="宋体" w:cs="宋体"/>
          <w:color w:val="auto"/>
          <w:sz w:val="21"/>
          <w:szCs w:val="21"/>
        </w:rPr>
      </w:pPr>
      <w:r>
        <w:rPr>
          <w:rFonts w:hint="eastAsia" w:ascii="宋体" w:hAnsi="宋体" w:cs="宋体"/>
          <w:color w:val="auto"/>
          <w:sz w:val="21"/>
          <w:szCs w:val="21"/>
        </w:rPr>
        <w:t xml:space="preserve">  投标人：              （盖公章）</w:t>
      </w:r>
    </w:p>
    <w:p>
      <w:pPr>
        <w:spacing w:line="360" w:lineRule="auto"/>
        <w:ind w:firstLine="3150" w:firstLineChars="1500"/>
        <w:jc w:val="both"/>
        <w:rPr>
          <w:rFonts w:hint="eastAsia" w:ascii="宋体" w:hAnsi="宋体" w:cs="宋体"/>
          <w:color w:val="auto"/>
          <w:sz w:val="21"/>
          <w:szCs w:val="21"/>
        </w:rPr>
      </w:pPr>
    </w:p>
    <w:p>
      <w:pPr>
        <w:spacing w:line="360" w:lineRule="auto"/>
        <w:ind w:firstLine="630" w:firstLineChars="300"/>
        <w:jc w:val="both"/>
        <w:rPr>
          <w:rFonts w:hint="eastAsia" w:ascii="宋体" w:hAnsi="宋体" w:cs="宋体"/>
          <w:color w:val="auto"/>
          <w:sz w:val="21"/>
          <w:szCs w:val="21"/>
        </w:rPr>
      </w:pPr>
      <w:r>
        <w:rPr>
          <w:rFonts w:hint="eastAsia" w:ascii="宋体" w:hAnsi="宋体" w:cs="宋体"/>
          <w:color w:val="auto"/>
          <w:sz w:val="21"/>
          <w:szCs w:val="21"/>
        </w:rPr>
        <w:t>日期：  年   月    日</w:t>
      </w:r>
    </w:p>
    <w:p>
      <w:pPr>
        <w:pStyle w:val="7"/>
        <w:spacing w:before="213" w:beforeLines="0" w:line="362" w:lineRule="auto"/>
        <w:ind w:left="0" w:right="1230"/>
        <w:jc w:val="center"/>
        <w:rPr>
          <w:rFonts w:hint="eastAsia"/>
          <w:color w:val="auto"/>
          <w:sz w:val="28"/>
          <w:szCs w:val="28"/>
        </w:rPr>
      </w:pPr>
    </w:p>
    <w:p>
      <w:pPr>
        <w:pStyle w:val="7"/>
        <w:spacing w:before="213" w:beforeLines="0" w:line="362" w:lineRule="auto"/>
        <w:ind w:left="0" w:right="1230"/>
        <w:jc w:val="center"/>
        <w:rPr>
          <w:rFonts w:hint="eastAsia"/>
          <w:color w:val="FF0000"/>
          <w:sz w:val="28"/>
          <w:szCs w:val="28"/>
        </w:rPr>
      </w:pPr>
    </w:p>
    <w:p>
      <w:pPr>
        <w:pStyle w:val="7"/>
        <w:spacing w:before="213" w:beforeLines="0" w:line="362" w:lineRule="auto"/>
        <w:ind w:left="0" w:right="1230"/>
        <w:jc w:val="both"/>
        <w:rPr>
          <w:rFonts w:hint="eastAsia"/>
          <w:color w:val="FF0000"/>
          <w:sz w:val="28"/>
          <w:szCs w:val="28"/>
        </w:rPr>
      </w:pPr>
    </w:p>
    <w:p>
      <w:pPr>
        <w:rPr>
          <w:rFonts w:hint="eastAsia"/>
          <w:color w:val="FF0000"/>
          <w:sz w:val="28"/>
          <w:szCs w:val="28"/>
        </w:rPr>
      </w:pPr>
    </w:p>
    <w:p>
      <w:pPr>
        <w:rPr>
          <w:rFonts w:hint="eastAsia"/>
          <w:color w:val="FF0000"/>
          <w:sz w:val="28"/>
          <w:szCs w:val="28"/>
        </w:rPr>
      </w:pPr>
    </w:p>
    <w:p>
      <w:pPr>
        <w:rPr>
          <w:rFonts w:hint="eastAsia"/>
          <w:color w:val="FF0000"/>
          <w:sz w:val="28"/>
          <w:szCs w:val="28"/>
        </w:rPr>
      </w:pPr>
    </w:p>
    <w:p>
      <w:pPr>
        <w:rPr>
          <w:rFonts w:hint="eastAsia"/>
          <w:color w:val="FF0000"/>
          <w:sz w:val="28"/>
          <w:szCs w:val="28"/>
        </w:rPr>
      </w:pPr>
    </w:p>
    <w:p>
      <w:pPr>
        <w:pStyle w:val="14"/>
        <w:spacing w:before="9" w:beforeLines="0"/>
        <w:rPr>
          <w:b/>
          <w:color w:val="auto"/>
          <w:sz w:val="25"/>
        </w:rPr>
      </w:pPr>
    </w:p>
    <w:p>
      <w:pPr>
        <w:pStyle w:val="14"/>
        <w:spacing w:before="9" w:beforeLines="0"/>
        <w:rPr>
          <w:b/>
          <w:color w:val="auto"/>
          <w:sz w:val="25"/>
        </w:rPr>
      </w:pPr>
    </w:p>
    <w:p>
      <w:pPr>
        <w:spacing w:before="55" w:beforeLines="0"/>
        <w:jc w:val="center"/>
        <w:rPr>
          <w:rFonts w:hint="eastAsia" w:ascii="宋体" w:hAnsi="宋体" w:eastAsia="宋体" w:cs="宋体"/>
          <w:b/>
          <w:bCs/>
          <w:color w:val="000000"/>
          <w:sz w:val="44"/>
          <w:szCs w:val="44"/>
          <w:lang w:eastAsia="zh-CN"/>
        </w:rPr>
      </w:pPr>
      <w:r>
        <w:rPr>
          <w:rFonts w:hint="eastAsia" w:ascii="宋体" w:hAnsi="宋体" w:cs="宋体"/>
          <w:b/>
          <w:bCs/>
          <w:color w:val="000000"/>
          <w:sz w:val="44"/>
          <w:szCs w:val="44"/>
          <w:lang w:val="en-US" w:eastAsia="zh-CN"/>
        </w:rPr>
        <w:t>九</w:t>
      </w:r>
      <w:r>
        <w:rPr>
          <w:rFonts w:hint="eastAsia" w:ascii="宋体" w:hAnsi="宋体" w:cs="宋体"/>
          <w:b/>
          <w:bCs/>
          <w:color w:val="000000"/>
          <w:sz w:val="44"/>
          <w:szCs w:val="44"/>
          <w:lang w:eastAsia="zh-CN"/>
        </w:rPr>
        <w:t>、</w:t>
      </w:r>
      <w:r>
        <w:rPr>
          <w:rFonts w:hint="eastAsia" w:ascii="宋体" w:hAnsi="宋体" w:cs="宋体"/>
          <w:b/>
          <w:bCs/>
          <w:color w:val="000000"/>
          <w:sz w:val="44"/>
          <w:szCs w:val="44"/>
        </w:rPr>
        <w:t>拟投入本</w:t>
      </w:r>
      <w:r>
        <w:rPr>
          <w:rFonts w:hint="eastAsia" w:ascii="宋体" w:hAnsi="宋体" w:cs="宋体"/>
          <w:b/>
          <w:bCs/>
          <w:color w:val="000000"/>
          <w:sz w:val="44"/>
          <w:szCs w:val="44"/>
          <w:lang w:eastAsia="zh-CN"/>
        </w:rPr>
        <w:t>工程项目班子人员简介</w:t>
      </w:r>
    </w:p>
    <w:p>
      <w:pPr>
        <w:rPr>
          <w:rFonts w:hint="eastAsia" w:ascii="宋体" w:hAnsi="宋体" w:cs="宋体"/>
          <w:b/>
          <w:color w:val="000000"/>
          <w:sz w:val="30"/>
          <w:szCs w:val="30"/>
        </w:rPr>
      </w:pPr>
    </w:p>
    <w:p>
      <w:pPr>
        <w:ind w:left="964" w:hanging="964" w:hangingChars="400"/>
        <w:rPr>
          <w:rFonts w:hint="eastAsia"/>
          <w:b/>
          <w:color w:val="000000"/>
          <w:sz w:val="24"/>
          <w:lang w:eastAsia="zh-CN"/>
        </w:rPr>
      </w:pPr>
      <w:r>
        <w:rPr>
          <w:rFonts w:hint="eastAsia"/>
          <w:b/>
          <w:color w:val="000000"/>
          <w:sz w:val="24"/>
        </w:rPr>
        <w:t>项目名称：</w:t>
      </w:r>
      <w:r>
        <w:rPr>
          <w:rFonts w:hint="eastAsia"/>
          <w:b/>
          <w:color w:val="000000"/>
          <w:sz w:val="24"/>
          <w:lang w:eastAsia="zh-CN"/>
        </w:rPr>
        <w:t>云安区生猪产业园—优质生猪标准化规模养殖基地项目</w:t>
      </w:r>
    </w:p>
    <w:p>
      <w:pPr>
        <w:ind w:left="964" w:hanging="964" w:hangingChars="400"/>
        <w:rPr>
          <w:rFonts w:hint="eastAsia"/>
          <w:b/>
          <w:color w:val="000000"/>
          <w:sz w:val="24"/>
          <w:lang w:eastAsia="zh-CN"/>
        </w:rPr>
      </w:pPr>
    </w:p>
    <w:tbl>
      <w:tblPr>
        <w:tblStyle w:val="23"/>
        <w:tblpPr w:leftFromText="180" w:rightFromText="180" w:vertAnchor="text" w:horzAnchor="page" w:tblpXSpec="center" w:tblpY="158"/>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6"/>
        <w:gridCol w:w="1476"/>
        <w:gridCol w:w="1569"/>
        <w:gridCol w:w="1886"/>
        <w:gridCol w:w="1477"/>
        <w:gridCol w:w="1477"/>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746" w:type="dxa"/>
            <w:vMerge w:val="restart"/>
            <w:noWrap w:val="0"/>
            <w:vAlign w:val="center"/>
          </w:tcPr>
          <w:p>
            <w:pPr>
              <w:pStyle w:val="29"/>
              <w:jc w:val="center"/>
              <w:rPr>
                <w:rFonts w:hint="eastAsia" w:ascii="宋体" w:hAnsi="宋体" w:eastAsia="宋体" w:cs="宋体"/>
                <w:color w:val="000000"/>
                <w:lang w:eastAsia="zh-CN"/>
              </w:rPr>
            </w:pPr>
          </w:p>
          <w:p>
            <w:pPr>
              <w:pStyle w:val="29"/>
              <w:jc w:val="center"/>
              <w:rPr>
                <w:rFonts w:hint="eastAsia" w:ascii="宋体" w:hAnsi="宋体" w:eastAsia="宋体" w:cs="宋体"/>
                <w:color w:val="000000"/>
                <w:lang w:eastAsia="zh-CN"/>
              </w:rPr>
            </w:pPr>
            <w:r>
              <w:rPr>
                <w:rFonts w:hint="eastAsia" w:ascii="宋体" w:hAnsi="宋体" w:eastAsia="宋体" w:cs="宋体"/>
                <w:color w:val="000000"/>
                <w:lang w:eastAsia="zh-CN"/>
              </w:rPr>
              <w:t>职务</w:t>
            </w:r>
          </w:p>
        </w:tc>
        <w:tc>
          <w:tcPr>
            <w:tcW w:w="1476" w:type="dxa"/>
            <w:vMerge w:val="restart"/>
            <w:noWrap w:val="0"/>
            <w:vAlign w:val="center"/>
          </w:tcPr>
          <w:p>
            <w:pPr>
              <w:pStyle w:val="29"/>
              <w:jc w:val="center"/>
              <w:rPr>
                <w:rFonts w:hint="eastAsia" w:ascii="宋体" w:hAnsi="宋体" w:eastAsia="宋体" w:cs="宋体"/>
                <w:color w:val="000000"/>
              </w:rPr>
            </w:pPr>
            <w:r>
              <w:rPr>
                <w:rFonts w:hint="eastAsia" w:ascii="宋体" w:hAnsi="宋体" w:eastAsia="宋体" w:cs="宋体"/>
                <w:color w:val="000000"/>
              </w:rPr>
              <w:t>姓</w:t>
            </w:r>
            <w:r>
              <w:rPr>
                <w:rFonts w:hint="eastAsia" w:ascii="宋体" w:hAnsi="宋体" w:eastAsia="宋体" w:cs="宋体"/>
                <w:color w:val="000000"/>
                <w:lang w:eastAsia="zh-CN"/>
              </w:rPr>
              <w:t xml:space="preserve"> </w:t>
            </w:r>
            <w:r>
              <w:rPr>
                <w:rFonts w:hint="eastAsia" w:ascii="宋体" w:hAnsi="宋体" w:eastAsia="宋体" w:cs="宋体"/>
                <w:color w:val="000000"/>
              </w:rPr>
              <w:t>名</w:t>
            </w:r>
          </w:p>
        </w:tc>
        <w:tc>
          <w:tcPr>
            <w:tcW w:w="1569" w:type="dxa"/>
            <w:vMerge w:val="restart"/>
            <w:noWrap w:val="0"/>
            <w:vAlign w:val="center"/>
          </w:tcPr>
          <w:p>
            <w:pPr>
              <w:pStyle w:val="29"/>
              <w:jc w:val="center"/>
              <w:rPr>
                <w:rFonts w:hint="eastAsia" w:ascii="宋体" w:hAnsi="宋体" w:eastAsia="宋体" w:cs="宋体"/>
                <w:color w:val="000000"/>
                <w:lang w:eastAsia="zh-CN"/>
              </w:rPr>
            </w:pPr>
            <w:r>
              <w:rPr>
                <w:rFonts w:hint="eastAsia" w:ascii="宋体" w:hAnsi="宋体" w:eastAsia="宋体" w:cs="宋体"/>
                <w:color w:val="000000"/>
                <w:lang w:eastAsia="zh-CN"/>
              </w:rPr>
              <w:t>职称级别</w:t>
            </w:r>
          </w:p>
        </w:tc>
        <w:tc>
          <w:tcPr>
            <w:tcW w:w="1886" w:type="dxa"/>
            <w:vMerge w:val="restart"/>
            <w:noWrap w:val="0"/>
            <w:vAlign w:val="center"/>
          </w:tcPr>
          <w:p>
            <w:pPr>
              <w:pStyle w:val="29"/>
              <w:jc w:val="center"/>
              <w:rPr>
                <w:rFonts w:hint="eastAsia" w:ascii="宋体" w:hAnsi="宋体" w:eastAsia="宋体" w:cs="宋体"/>
                <w:color w:val="000000"/>
                <w:lang w:eastAsia="zh-CN"/>
              </w:rPr>
            </w:pPr>
            <w:r>
              <w:rPr>
                <w:rFonts w:hint="eastAsia" w:ascii="宋体" w:hAnsi="宋体" w:eastAsia="宋体" w:cs="宋体"/>
                <w:color w:val="000000"/>
                <w:lang w:eastAsia="zh-CN"/>
              </w:rPr>
              <w:t>职称证号</w:t>
            </w:r>
          </w:p>
        </w:tc>
        <w:tc>
          <w:tcPr>
            <w:tcW w:w="4431" w:type="dxa"/>
            <w:gridSpan w:val="3"/>
            <w:noWrap w:val="0"/>
            <w:vAlign w:val="center"/>
          </w:tcPr>
          <w:p>
            <w:pPr>
              <w:pStyle w:val="29"/>
              <w:jc w:val="center"/>
              <w:rPr>
                <w:rFonts w:hint="eastAsia" w:ascii="宋体" w:hAnsi="宋体" w:eastAsia="宋体" w:cs="宋体"/>
                <w:color w:val="000000"/>
                <w:lang w:eastAsia="zh-CN"/>
              </w:rPr>
            </w:pPr>
            <w:r>
              <w:rPr>
                <w:rFonts w:hint="eastAsia" w:ascii="宋体" w:hAnsi="宋体" w:eastAsia="宋体" w:cs="宋体"/>
                <w:color w:val="000000"/>
                <w:lang w:eastAsia="zh-CN"/>
              </w:rPr>
              <w:t>上岗职业或职业资格证明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746" w:type="dxa"/>
            <w:vMerge w:val="continue"/>
            <w:noWrap w:val="0"/>
            <w:vAlign w:val="center"/>
          </w:tcPr>
          <w:p>
            <w:pPr>
              <w:pStyle w:val="29"/>
              <w:jc w:val="center"/>
            </w:pPr>
          </w:p>
        </w:tc>
        <w:tc>
          <w:tcPr>
            <w:tcW w:w="1476" w:type="dxa"/>
            <w:vMerge w:val="continue"/>
            <w:noWrap w:val="0"/>
            <w:vAlign w:val="center"/>
          </w:tcPr>
          <w:p>
            <w:pPr>
              <w:pStyle w:val="29"/>
              <w:jc w:val="center"/>
            </w:pPr>
          </w:p>
        </w:tc>
        <w:tc>
          <w:tcPr>
            <w:tcW w:w="1569" w:type="dxa"/>
            <w:vMerge w:val="continue"/>
            <w:noWrap w:val="0"/>
            <w:vAlign w:val="center"/>
          </w:tcPr>
          <w:p>
            <w:pPr>
              <w:pStyle w:val="29"/>
              <w:jc w:val="center"/>
            </w:pPr>
          </w:p>
        </w:tc>
        <w:tc>
          <w:tcPr>
            <w:tcW w:w="1886" w:type="dxa"/>
            <w:vMerge w:val="continue"/>
            <w:noWrap w:val="0"/>
            <w:vAlign w:val="center"/>
          </w:tcPr>
          <w:p>
            <w:pPr>
              <w:pStyle w:val="29"/>
              <w:jc w:val="center"/>
            </w:pPr>
          </w:p>
        </w:tc>
        <w:tc>
          <w:tcPr>
            <w:tcW w:w="1477" w:type="dxa"/>
            <w:noWrap w:val="0"/>
            <w:vAlign w:val="center"/>
          </w:tcPr>
          <w:p>
            <w:pPr>
              <w:pStyle w:val="29"/>
              <w:jc w:val="center"/>
              <w:rPr>
                <w:rFonts w:hint="eastAsia" w:ascii="宋体" w:hAnsi="宋体" w:eastAsia="宋体" w:cs="宋体"/>
                <w:color w:val="000000"/>
                <w:lang w:eastAsia="zh-CN"/>
              </w:rPr>
            </w:pPr>
            <w:r>
              <w:rPr>
                <w:rFonts w:hint="eastAsia" w:ascii="宋体" w:hAnsi="宋体" w:eastAsia="宋体" w:cs="宋体"/>
                <w:color w:val="000000"/>
                <w:lang w:eastAsia="zh-CN"/>
              </w:rPr>
              <w:t>证书名称</w:t>
            </w:r>
          </w:p>
        </w:tc>
        <w:tc>
          <w:tcPr>
            <w:tcW w:w="1477" w:type="dxa"/>
            <w:noWrap w:val="0"/>
            <w:vAlign w:val="center"/>
          </w:tcPr>
          <w:p>
            <w:pPr>
              <w:pStyle w:val="29"/>
              <w:jc w:val="center"/>
              <w:rPr>
                <w:rFonts w:hint="eastAsia" w:ascii="宋体" w:hAnsi="宋体" w:eastAsia="宋体" w:cs="宋体"/>
                <w:color w:val="000000"/>
                <w:lang w:eastAsia="zh-CN"/>
              </w:rPr>
            </w:pPr>
            <w:r>
              <w:rPr>
                <w:rFonts w:hint="eastAsia" w:ascii="宋体" w:hAnsi="宋体" w:eastAsia="宋体" w:cs="宋体"/>
                <w:color w:val="000000"/>
                <w:lang w:eastAsia="zh-CN"/>
              </w:rPr>
              <w:t>证号</w:t>
            </w:r>
          </w:p>
        </w:tc>
        <w:tc>
          <w:tcPr>
            <w:tcW w:w="1477" w:type="dxa"/>
            <w:noWrap w:val="0"/>
            <w:vAlign w:val="center"/>
          </w:tcPr>
          <w:p>
            <w:pPr>
              <w:pStyle w:val="29"/>
              <w:jc w:val="center"/>
              <w:rPr>
                <w:rFonts w:hint="eastAsia" w:ascii="宋体" w:hAnsi="宋体" w:eastAsia="宋体" w:cs="宋体"/>
                <w:color w:val="000000"/>
                <w:lang w:eastAsia="zh-CN"/>
              </w:rPr>
            </w:pPr>
            <w:r>
              <w:rPr>
                <w:rFonts w:hint="eastAsia" w:ascii="宋体" w:hAnsi="宋体" w:eastAsia="宋体" w:cs="宋体"/>
                <w:color w:val="000000"/>
                <w:lang w:eastAsia="zh-CN"/>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val="en-US" w:eastAsia="zh-CN"/>
              </w:rPr>
              <w:t>项目</w:t>
            </w:r>
            <w:r>
              <w:rPr>
                <w:rFonts w:hint="eastAsia" w:ascii="宋体" w:hAnsi="宋体" w:eastAsia="宋体" w:cs="宋体"/>
                <w:color w:val="000000"/>
                <w:lang w:eastAsia="zh-CN"/>
              </w:rPr>
              <w:t>负责人</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eastAsia="zh-CN"/>
              </w:rPr>
              <w:t>项目技术负责人</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eastAsia="zh-CN"/>
              </w:rPr>
              <w:t>安全员</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eastAsia="zh-CN"/>
              </w:rPr>
              <w:t>施工员</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eastAsia="zh-CN"/>
              </w:rPr>
              <w:t>质量员</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eastAsia="zh-CN"/>
              </w:rPr>
              <w:t>材料员</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eastAsia="zh-CN"/>
              </w:rPr>
              <w:t>机管员</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746" w:type="dxa"/>
            <w:noWrap w:val="0"/>
            <w:vAlign w:val="center"/>
          </w:tcPr>
          <w:p>
            <w:pPr>
              <w:pStyle w:val="29"/>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eastAsia="zh-CN"/>
              </w:rPr>
              <w:t>资料员</w:t>
            </w:r>
          </w:p>
        </w:tc>
        <w:tc>
          <w:tcPr>
            <w:tcW w:w="1476" w:type="dxa"/>
            <w:noWrap w:val="0"/>
            <w:vAlign w:val="center"/>
          </w:tcPr>
          <w:p>
            <w:pPr>
              <w:pStyle w:val="29"/>
              <w:jc w:val="center"/>
              <w:rPr>
                <w:rFonts w:hint="eastAsia" w:ascii="宋体" w:hAnsi="宋体" w:eastAsia="宋体" w:cs="宋体"/>
                <w:color w:val="000000"/>
              </w:rPr>
            </w:pPr>
          </w:p>
        </w:tc>
        <w:tc>
          <w:tcPr>
            <w:tcW w:w="1569" w:type="dxa"/>
            <w:noWrap w:val="0"/>
            <w:vAlign w:val="center"/>
          </w:tcPr>
          <w:p>
            <w:pPr>
              <w:pStyle w:val="29"/>
              <w:jc w:val="center"/>
              <w:rPr>
                <w:rFonts w:hint="eastAsia" w:ascii="宋体" w:hAnsi="宋体" w:eastAsia="宋体" w:cs="宋体"/>
                <w:color w:val="000000"/>
                <w:lang w:eastAsia="zh-CN"/>
              </w:rPr>
            </w:pPr>
          </w:p>
        </w:tc>
        <w:tc>
          <w:tcPr>
            <w:tcW w:w="1886"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c>
          <w:tcPr>
            <w:tcW w:w="1477" w:type="dxa"/>
            <w:noWrap w:val="0"/>
            <w:vAlign w:val="center"/>
          </w:tcPr>
          <w:p>
            <w:pPr>
              <w:pStyle w:val="29"/>
              <w:jc w:val="center"/>
              <w:rPr>
                <w:rFonts w:hint="eastAsia" w:ascii="宋体" w:hAnsi="宋体" w:eastAsia="宋体" w:cs="宋体"/>
                <w:color w:val="000000"/>
              </w:rPr>
            </w:pPr>
          </w:p>
        </w:tc>
      </w:tr>
    </w:tbl>
    <w:p>
      <w:pPr>
        <w:pStyle w:val="14"/>
        <w:spacing w:line="360" w:lineRule="auto"/>
        <w:rPr>
          <w:rFonts w:hint="eastAsia"/>
          <w:b/>
          <w:color w:val="000000"/>
          <w:sz w:val="14"/>
        </w:rPr>
      </w:pPr>
    </w:p>
    <w:p>
      <w:pPr>
        <w:pStyle w:val="8"/>
        <w:tabs>
          <w:tab w:val="left" w:pos="6304"/>
        </w:tabs>
        <w:spacing w:before="1" w:beforeLines="0"/>
        <w:ind w:left="0" w:leftChars="0" w:firstLine="0" w:firstLineChars="0"/>
        <w:rPr>
          <w:color w:val="000000"/>
        </w:rPr>
      </w:pPr>
    </w:p>
    <w:p>
      <w:pPr>
        <w:pStyle w:val="8"/>
        <w:tabs>
          <w:tab w:val="left" w:pos="6304"/>
        </w:tabs>
        <w:spacing w:before="1" w:beforeLines="0"/>
        <w:ind w:left="0" w:leftChars="0" w:firstLine="0" w:firstLineChars="0"/>
        <w:rPr>
          <w:color w:val="000000"/>
        </w:rPr>
      </w:pPr>
    </w:p>
    <w:p>
      <w:pPr>
        <w:pStyle w:val="8"/>
        <w:tabs>
          <w:tab w:val="left" w:pos="6304"/>
        </w:tabs>
        <w:spacing w:before="1" w:beforeLines="0"/>
        <w:ind w:left="0" w:leftChars="0" w:firstLine="0" w:firstLineChars="0"/>
        <w:rPr>
          <w:color w:val="000000"/>
        </w:rPr>
      </w:pPr>
    </w:p>
    <w:p>
      <w:pPr>
        <w:pStyle w:val="8"/>
        <w:tabs>
          <w:tab w:val="left" w:pos="6304"/>
        </w:tabs>
        <w:spacing w:before="1" w:beforeLines="0"/>
        <w:ind w:left="0" w:leftChars="0" w:firstLine="0" w:firstLineChars="0"/>
        <w:rPr>
          <w:color w:val="000000"/>
        </w:rPr>
      </w:pPr>
      <w:r>
        <w:rPr>
          <w:color w:val="000000"/>
        </w:rPr>
        <w:t>投标人：</w:t>
      </w:r>
      <w:r>
        <w:rPr>
          <w:color w:val="000000"/>
          <w:u w:val="single"/>
        </w:rPr>
        <w:t xml:space="preserve"> </w:t>
      </w:r>
      <w:r>
        <w:rPr>
          <w:color w:val="000000"/>
          <w:u w:val="single"/>
        </w:rPr>
        <w:tab/>
      </w:r>
      <w:r>
        <w:rPr>
          <w:color w:val="000000"/>
        </w:rPr>
        <w:t>（盖公章）</w:t>
      </w:r>
    </w:p>
    <w:p>
      <w:pPr>
        <w:pStyle w:val="14"/>
        <w:spacing w:before="4" w:beforeLines="0"/>
        <w:rPr>
          <w:color w:val="000000"/>
          <w:sz w:val="19"/>
        </w:rPr>
      </w:pPr>
    </w:p>
    <w:p>
      <w:pPr>
        <w:pStyle w:val="8"/>
        <w:tabs>
          <w:tab w:val="left" w:pos="6304"/>
        </w:tabs>
        <w:spacing w:before="1" w:beforeLines="0"/>
        <w:ind w:left="0" w:leftChars="0" w:firstLine="0" w:firstLineChars="0"/>
        <w:rPr>
          <w:rFonts w:hint="eastAsia"/>
          <w:color w:val="000000"/>
        </w:rPr>
      </w:pPr>
      <w:r>
        <w:rPr>
          <w:rFonts w:hint="eastAsia"/>
          <w:color w:val="000000"/>
        </w:rPr>
        <w:t>日期：  年  月   日</w:t>
      </w:r>
    </w:p>
    <w:p>
      <w:pPr>
        <w:pStyle w:val="14"/>
        <w:spacing w:before="5" w:beforeLines="0"/>
        <w:rPr>
          <w:rFonts w:hint="eastAsia"/>
          <w:color w:val="000000"/>
          <w:sz w:val="18"/>
        </w:rPr>
      </w:pPr>
    </w:p>
    <w:p>
      <w:pPr>
        <w:pStyle w:val="14"/>
        <w:spacing w:before="5" w:beforeLines="0"/>
        <w:rPr>
          <w:rFonts w:hint="eastAsia" w:eastAsia="宋体"/>
          <w:color w:val="000000"/>
          <w:sz w:val="20"/>
          <w:szCs w:val="20"/>
          <w:lang w:eastAsia="zh-CN"/>
        </w:rPr>
      </w:pPr>
      <w:r>
        <w:rPr>
          <w:rFonts w:hint="eastAsia"/>
          <w:color w:val="000000"/>
          <w:sz w:val="20"/>
          <w:szCs w:val="20"/>
          <w:lang w:eastAsia="zh-CN"/>
        </w:rPr>
        <w:t>说明：投标人根据自己单位的实际情况进行人员的配备，并于本表后附所有的证明材料。</w:t>
      </w:r>
    </w:p>
    <w:p>
      <w:pPr>
        <w:pStyle w:val="4"/>
        <w:ind w:left="-220" w:leftChars="-100" w:firstLine="217" w:firstLineChars="68"/>
        <w:rPr>
          <w:rFonts w:hint="eastAsia"/>
          <w:b/>
          <w:bCs/>
          <w:color w:val="000000"/>
          <w:sz w:val="36"/>
          <w:szCs w:val="36"/>
          <w:lang w:val="en-US" w:bidi="ar-SA"/>
        </w:rPr>
      </w:pPr>
      <w:r>
        <w:rPr>
          <w:rFonts w:hint="eastAsia" w:ascii="宋体" w:hAnsi="宋体" w:cs="宋体"/>
          <w:color w:val="000000"/>
        </w:rPr>
        <w:br w:type="page"/>
      </w:r>
      <w:bookmarkStart w:id="587" w:name="_Toc16642"/>
      <w:bookmarkStart w:id="588" w:name="_Toc1731"/>
      <w:r>
        <w:rPr>
          <w:rFonts w:hint="eastAsia"/>
          <w:b/>
          <w:bCs/>
          <w:color w:val="000000"/>
          <w:sz w:val="36"/>
          <w:szCs w:val="36"/>
          <w:lang w:val="en-US" w:bidi="ar-SA"/>
        </w:rPr>
        <w:t>十、施</w:t>
      </w:r>
      <w:r>
        <w:rPr>
          <w:rFonts w:hint="eastAsia" w:eastAsia="宋体" w:cs="Times New Roman"/>
          <w:b/>
          <w:bCs/>
          <w:color w:val="000000"/>
          <w:sz w:val="36"/>
          <w:szCs w:val="36"/>
          <w:lang w:val="en-US" w:bidi="ar-SA"/>
        </w:rPr>
        <w:t>工</w:t>
      </w:r>
      <w:r>
        <w:rPr>
          <w:rFonts w:hint="eastAsia" w:eastAsia="宋体" w:cs="Times New Roman"/>
          <w:b/>
          <w:bCs/>
          <w:color w:val="000000"/>
          <w:sz w:val="36"/>
          <w:szCs w:val="36"/>
          <w:lang w:val="en-US" w:eastAsia="zh-CN" w:bidi="ar-SA"/>
        </w:rPr>
        <w:t>项目</w:t>
      </w:r>
      <w:r>
        <w:rPr>
          <w:rFonts w:hint="eastAsia" w:eastAsia="宋体" w:cs="Times New Roman"/>
          <w:b/>
          <w:bCs/>
          <w:color w:val="000000"/>
          <w:sz w:val="36"/>
          <w:szCs w:val="36"/>
          <w:lang w:val="en-US" w:bidi="ar-SA"/>
        </w:rPr>
        <w:t>负责人和项目</w:t>
      </w:r>
      <w:r>
        <w:rPr>
          <w:rFonts w:hint="eastAsia" w:eastAsia="宋体" w:cs="Times New Roman"/>
          <w:b/>
          <w:bCs/>
          <w:color w:val="000000"/>
          <w:sz w:val="36"/>
          <w:szCs w:val="36"/>
          <w:lang w:val="en-US" w:eastAsia="zh-CN" w:bidi="ar-SA"/>
        </w:rPr>
        <w:t>技术</w:t>
      </w:r>
      <w:r>
        <w:rPr>
          <w:rFonts w:hint="eastAsia"/>
          <w:b/>
          <w:bCs/>
          <w:color w:val="000000"/>
          <w:sz w:val="36"/>
          <w:szCs w:val="36"/>
          <w:lang w:val="en-US" w:bidi="ar-SA"/>
        </w:rPr>
        <w:t>负责人的签名确认表</w:t>
      </w:r>
      <w:bookmarkEnd w:id="587"/>
      <w:bookmarkEnd w:id="588"/>
    </w:p>
    <w:p>
      <w:pPr>
        <w:spacing w:line="480" w:lineRule="auto"/>
        <w:ind w:firstLine="440" w:firstLineChars="200"/>
        <w:rPr>
          <w:color w:val="000000"/>
        </w:rPr>
      </w:pPr>
    </w:p>
    <w:p>
      <w:pPr>
        <w:spacing w:line="480" w:lineRule="auto"/>
        <w:ind w:firstLine="520" w:firstLineChars="200"/>
        <w:rPr>
          <w:rFonts w:ascii="宋体" w:hAnsi="宋体"/>
          <w:sz w:val="26"/>
          <w:szCs w:val="26"/>
        </w:rPr>
      </w:pPr>
      <w:r>
        <w:rPr>
          <w:rFonts w:hint="eastAsia" w:ascii="宋体" w:hAnsi="宋体"/>
          <w:sz w:val="26"/>
          <w:szCs w:val="26"/>
        </w:rPr>
        <w:t>本人姓名：</w:t>
      </w:r>
      <w:r>
        <w:rPr>
          <w:rFonts w:hint="eastAsia" w:ascii="宋体" w:hAnsi="宋体"/>
          <w:sz w:val="26"/>
          <w:szCs w:val="26"/>
          <w:u w:val="single"/>
        </w:rPr>
        <w:t xml:space="preserve">        </w:t>
      </w:r>
      <w:r>
        <w:rPr>
          <w:rFonts w:hint="eastAsia" w:ascii="宋体" w:hAnsi="宋体"/>
          <w:sz w:val="26"/>
          <w:szCs w:val="26"/>
        </w:rPr>
        <w:t>，性别：</w:t>
      </w:r>
      <w:r>
        <w:rPr>
          <w:rFonts w:hint="eastAsia" w:ascii="宋体" w:hAnsi="宋体"/>
          <w:sz w:val="26"/>
          <w:szCs w:val="26"/>
          <w:u w:val="single"/>
        </w:rPr>
        <w:t xml:space="preserve">        </w:t>
      </w:r>
      <w:r>
        <w:rPr>
          <w:rFonts w:hint="eastAsia" w:ascii="宋体" w:hAnsi="宋体"/>
          <w:sz w:val="26"/>
          <w:szCs w:val="26"/>
        </w:rPr>
        <w:t>，身份证证号：</w:t>
      </w:r>
      <w:r>
        <w:rPr>
          <w:rFonts w:hint="eastAsia" w:ascii="宋体" w:hAnsi="宋体"/>
          <w:sz w:val="26"/>
          <w:szCs w:val="26"/>
          <w:u w:val="single"/>
        </w:rPr>
        <w:t xml:space="preserve">       </w:t>
      </w:r>
      <w:r>
        <w:rPr>
          <w:rFonts w:hint="eastAsia" w:ascii="宋体" w:hAnsi="宋体"/>
          <w:sz w:val="26"/>
          <w:szCs w:val="26"/>
        </w:rPr>
        <w:t>，已认真阅读</w:t>
      </w:r>
      <w:r>
        <w:rPr>
          <w:rFonts w:hint="eastAsia" w:ascii="宋体" w:hAnsi="宋体"/>
          <w:b/>
          <w:bCs/>
          <w:sz w:val="26"/>
          <w:szCs w:val="26"/>
          <w:u w:val="single"/>
        </w:rPr>
        <w:t xml:space="preserve"> </w:t>
      </w:r>
      <w:r>
        <w:rPr>
          <w:rFonts w:hint="eastAsia" w:cs="宋体"/>
          <w:b/>
          <w:bCs/>
          <w:color w:val="000000"/>
          <w:kern w:val="2"/>
          <w:sz w:val="26"/>
          <w:szCs w:val="26"/>
          <w:u w:val="single"/>
          <w:lang w:eastAsia="zh-CN"/>
        </w:rPr>
        <w:t>云安区生猪产业园—优质生猪标准化规模养殖基地项目</w:t>
      </w:r>
      <w:r>
        <w:rPr>
          <w:rFonts w:hint="eastAsia" w:ascii="宋体" w:hAnsi="宋体"/>
          <w:b/>
          <w:bCs/>
          <w:sz w:val="26"/>
          <w:szCs w:val="26"/>
          <w:u w:val="single"/>
        </w:rPr>
        <w:t xml:space="preserve"> </w:t>
      </w:r>
      <w:r>
        <w:rPr>
          <w:rFonts w:hint="eastAsia" w:ascii="宋体" w:hAnsi="宋体"/>
          <w:sz w:val="26"/>
          <w:szCs w:val="26"/>
        </w:rPr>
        <w:t>的投标须知、合同条款、工程建设标准及其他有关文件，愿意在合法合规的前提下，担任</w:t>
      </w:r>
      <w:r>
        <w:rPr>
          <w:rFonts w:hint="eastAsia" w:ascii="宋体" w:hAnsi="宋体"/>
          <w:b/>
          <w:sz w:val="26"/>
          <w:szCs w:val="26"/>
          <w:u w:val="single"/>
        </w:rPr>
        <w:t>施工</w:t>
      </w:r>
      <w:r>
        <w:rPr>
          <w:rFonts w:hint="eastAsia" w:ascii="宋体" w:hAnsi="宋体"/>
          <w:b/>
          <w:sz w:val="26"/>
          <w:szCs w:val="26"/>
          <w:u w:val="single"/>
          <w:lang w:val="en-US" w:eastAsia="zh-CN"/>
        </w:rPr>
        <w:t>项目</w:t>
      </w:r>
      <w:r>
        <w:rPr>
          <w:rFonts w:hint="eastAsia" w:ascii="宋体" w:hAnsi="宋体"/>
          <w:b/>
          <w:sz w:val="26"/>
          <w:szCs w:val="26"/>
          <w:u w:val="single"/>
        </w:rPr>
        <w:t>负责人</w:t>
      </w:r>
      <w:r>
        <w:rPr>
          <w:rFonts w:hint="eastAsia" w:ascii="宋体" w:hAnsi="宋体"/>
          <w:sz w:val="26"/>
          <w:szCs w:val="26"/>
        </w:rPr>
        <w:t>一职，并承担相应的责任。</w:t>
      </w:r>
    </w:p>
    <w:p>
      <w:pPr>
        <w:spacing w:line="480" w:lineRule="auto"/>
        <w:ind w:firstLine="520" w:firstLineChars="200"/>
        <w:rPr>
          <w:rFonts w:hint="eastAsia" w:ascii="宋体" w:hAnsi="宋体"/>
          <w:sz w:val="26"/>
          <w:szCs w:val="26"/>
        </w:rPr>
      </w:pPr>
    </w:p>
    <w:p>
      <w:pPr>
        <w:spacing w:line="480" w:lineRule="auto"/>
        <w:ind w:firstLine="520" w:firstLineChars="200"/>
        <w:rPr>
          <w:rFonts w:ascii="宋体" w:hAnsi="宋体"/>
          <w:sz w:val="26"/>
          <w:szCs w:val="26"/>
        </w:rPr>
      </w:pPr>
      <w:r>
        <w:rPr>
          <w:rFonts w:hint="eastAsia" w:ascii="宋体" w:hAnsi="宋体"/>
          <w:sz w:val="26"/>
          <w:szCs w:val="26"/>
        </w:rPr>
        <w:t>本人姓名：</w:t>
      </w:r>
      <w:r>
        <w:rPr>
          <w:rFonts w:hint="eastAsia" w:ascii="宋体" w:hAnsi="宋体"/>
          <w:sz w:val="26"/>
          <w:szCs w:val="26"/>
          <w:u w:val="single"/>
        </w:rPr>
        <w:t xml:space="preserve">            </w:t>
      </w:r>
      <w:r>
        <w:rPr>
          <w:rFonts w:hint="eastAsia" w:ascii="宋体" w:hAnsi="宋体"/>
          <w:sz w:val="26"/>
          <w:szCs w:val="26"/>
        </w:rPr>
        <w:t>，性别：</w:t>
      </w:r>
      <w:r>
        <w:rPr>
          <w:rFonts w:hint="eastAsia" w:ascii="宋体" w:hAnsi="宋体"/>
          <w:sz w:val="26"/>
          <w:szCs w:val="26"/>
          <w:u w:val="single"/>
        </w:rPr>
        <w:t xml:space="preserve">        </w:t>
      </w:r>
      <w:r>
        <w:rPr>
          <w:rFonts w:hint="eastAsia" w:ascii="宋体" w:hAnsi="宋体"/>
          <w:sz w:val="26"/>
          <w:szCs w:val="26"/>
        </w:rPr>
        <w:t>，身份证证号：</w:t>
      </w:r>
      <w:r>
        <w:rPr>
          <w:rFonts w:hint="eastAsia" w:ascii="宋体" w:hAnsi="宋体"/>
          <w:sz w:val="26"/>
          <w:szCs w:val="26"/>
          <w:u w:val="single"/>
        </w:rPr>
        <w:t xml:space="preserve">         </w:t>
      </w:r>
      <w:r>
        <w:rPr>
          <w:rFonts w:hint="eastAsia" w:ascii="宋体" w:hAnsi="宋体"/>
          <w:sz w:val="26"/>
          <w:szCs w:val="26"/>
        </w:rPr>
        <w:t>，已认真阅读</w:t>
      </w:r>
      <w:r>
        <w:rPr>
          <w:rFonts w:hint="eastAsia" w:ascii="宋体" w:hAnsi="宋体"/>
          <w:b/>
          <w:bCs/>
          <w:sz w:val="26"/>
          <w:szCs w:val="26"/>
          <w:u w:val="single"/>
        </w:rPr>
        <w:t xml:space="preserve"> </w:t>
      </w:r>
      <w:r>
        <w:rPr>
          <w:rFonts w:hint="eastAsia" w:cs="宋体"/>
          <w:b/>
          <w:bCs/>
          <w:color w:val="000000"/>
          <w:kern w:val="2"/>
          <w:sz w:val="26"/>
          <w:szCs w:val="26"/>
          <w:u w:val="single"/>
          <w:lang w:eastAsia="zh-CN"/>
        </w:rPr>
        <w:t>云安区生猪产业园—优质生猪标准化规模养殖基地项目</w:t>
      </w:r>
      <w:r>
        <w:rPr>
          <w:rFonts w:hint="eastAsia" w:ascii="宋体" w:hAnsi="宋体"/>
          <w:b/>
          <w:bCs/>
          <w:sz w:val="26"/>
          <w:szCs w:val="26"/>
          <w:u w:val="single"/>
        </w:rPr>
        <w:t xml:space="preserve"> </w:t>
      </w:r>
      <w:r>
        <w:rPr>
          <w:rFonts w:hint="eastAsia" w:ascii="宋体" w:hAnsi="宋体"/>
          <w:sz w:val="26"/>
          <w:szCs w:val="26"/>
        </w:rPr>
        <w:t>的投标须知、合同条款、工程建设标准及其他有关文件，愿意在合法合规的前提下，担任</w:t>
      </w:r>
      <w:r>
        <w:rPr>
          <w:rFonts w:hint="eastAsia" w:ascii="宋体" w:hAnsi="宋体"/>
          <w:b/>
          <w:sz w:val="26"/>
          <w:szCs w:val="26"/>
          <w:u w:val="single"/>
        </w:rPr>
        <w:t>项目技术负责人</w:t>
      </w:r>
      <w:r>
        <w:rPr>
          <w:rFonts w:hint="eastAsia" w:ascii="宋体" w:hAnsi="宋体"/>
          <w:sz w:val="26"/>
          <w:szCs w:val="26"/>
        </w:rPr>
        <w:t>一职，并承担相应的责任。</w:t>
      </w:r>
    </w:p>
    <w:p>
      <w:pPr>
        <w:spacing w:line="480" w:lineRule="auto"/>
        <w:ind w:firstLine="480" w:firstLineChars="200"/>
        <w:rPr>
          <w:rFonts w:ascii="宋体" w:hAnsi="宋体"/>
          <w:sz w:val="24"/>
          <w:szCs w:val="24"/>
        </w:rPr>
      </w:pPr>
    </w:p>
    <w:p>
      <w:pPr>
        <w:autoSpaceDE w:val="0"/>
        <w:autoSpaceDN w:val="0"/>
        <w:adjustRightInd w:val="0"/>
        <w:spacing w:line="480" w:lineRule="auto"/>
        <w:jc w:val="center"/>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sz w:val="24"/>
          <w:szCs w:val="24"/>
          <w:u w:val="single"/>
        </w:rPr>
        <w:t xml:space="preserve">                </w:t>
      </w:r>
      <w:r>
        <w:rPr>
          <w:rFonts w:hint="eastAsia" w:ascii="宋体" w:hAnsi="宋体" w:cs="宋体"/>
          <w:sz w:val="24"/>
          <w:szCs w:val="24"/>
        </w:rPr>
        <w:t>（盖公章）</w:t>
      </w:r>
    </w:p>
    <w:p>
      <w:pPr>
        <w:spacing w:line="480" w:lineRule="auto"/>
        <w:ind w:firstLine="2160" w:firstLineChars="900"/>
        <w:rPr>
          <w:rFonts w:hint="eastAsia" w:ascii="宋体" w:hAnsi="宋体" w:cs="宋体"/>
          <w:sz w:val="24"/>
          <w:szCs w:val="24"/>
        </w:rPr>
      </w:pPr>
      <w:r>
        <w:rPr>
          <w:rFonts w:hint="eastAsia" w:ascii="宋体" w:hAnsi="宋体" w:cs="宋体"/>
          <w:sz w:val="24"/>
          <w:szCs w:val="24"/>
        </w:rPr>
        <w:t>施工</w:t>
      </w:r>
      <w:r>
        <w:rPr>
          <w:rFonts w:hint="eastAsia" w:ascii="宋体" w:hAnsi="宋体" w:cs="宋体"/>
          <w:sz w:val="24"/>
          <w:szCs w:val="24"/>
          <w:lang w:eastAsia="zh-CN"/>
        </w:rPr>
        <w:t>项目</w:t>
      </w:r>
      <w:r>
        <w:rPr>
          <w:rFonts w:hint="eastAsia" w:ascii="宋体" w:hAnsi="宋体" w:cs="宋体"/>
          <w:sz w:val="24"/>
          <w:szCs w:val="24"/>
        </w:rPr>
        <w:t>负责人：</w:t>
      </w:r>
      <w:r>
        <w:rPr>
          <w:rFonts w:hint="eastAsia" w:ascii="宋体" w:hAnsi="宋体" w:cs="宋体"/>
          <w:sz w:val="24"/>
          <w:szCs w:val="24"/>
          <w:u w:val="single"/>
        </w:rPr>
        <w:t xml:space="preserve">               </w:t>
      </w:r>
      <w:r>
        <w:rPr>
          <w:rFonts w:hint="eastAsia" w:ascii="宋体" w:hAnsi="宋体" w:cs="宋体"/>
          <w:sz w:val="24"/>
          <w:szCs w:val="24"/>
        </w:rPr>
        <w:t xml:space="preserve">（签字） </w:t>
      </w:r>
    </w:p>
    <w:p>
      <w:pPr>
        <w:spacing w:line="480" w:lineRule="auto"/>
        <w:ind w:firstLine="2160" w:firstLineChars="900"/>
        <w:rPr>
          <w:rFonts w:hint="eastAsia" w:ascii="宋体" w:hAnsi="宋体" w:cs="宋体"/>
          <w:sz w:val="24"/>
          <w:szCs w:val="24"/>
        </w:rPr>
      </w:pPr>
      <w:r>
        <w:rPr>
          <w:rFonts w:hint="eastAsia" w:hAnsi="宋体" w:cs="宋体"/>
          <w:sz w:val="24"/>
          <w:szCs w:val="24"/>
        </w:rPr>
        <w:t>项目技术负责人：</w:t>
      </w:r>
      <w:r>
        <w:rPr>
          <w:rFonts w:hint="eastAsia" w:ascii="宋体" w:hAnsi="宋体" w:cs="宋体"/>
          <w:sz w:val="24"/>
          <w:szCs w:val="24"/>
          <w:u w:val="single"/>
        </w:rPr>
        <w:t xml:space="preserve">               </w:t>
      </w:r>
      <w:r>
        <w:rPr>
          <w:rFonts w:hint="eastAsia" w:ascii="宋体" w:hAnsi="宋体" w:cs="宋体"/>
          <w:sz w:val="24"/>
          <w:szCs w:val="24"/>
        </w:rPr>
        <w:t>（签字）</w:t>
      </w:r>
    </w:p>
    <w:p>
      <w:pPr>
        <w:spacing w:line="480" w:lineRule="auto"/>
        <w:ind w:firstLine="2160" w:firstLineChars="900"/>
        <w:rPr>
          <w:rFonts w:ascii="宋体" w:hAns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ascii="宋体" w:hAnsi="宋体"/>
          <w:sz w:val="24"/>
          <w:szCs w:val="24"/>
          <w:u w:val="single"/>
        </w:rPr>
        <w:t>_____</w:t>
      </w:r>
      <w:r>
        <w:rPr>
          <w:rFonts w:hint="eastAsia" w:ascii="宋体" w:hAnsi="宋体"/>
          <w:sz w:val="24"/>
          <w:szCs w:val="24"/>
        </w:rPr>
        <w:t>年</w:t>
      </w:r>
      <w:r>
        <w:rPr>
          <w:rFonts w:ascii="宋体" w:hAnsi="宋体"/>
          <w:sz w:val="24"/>
          <w:szCs w:val="24"/>
          <w:u w:val="single"/>
        </w:rPr>
        <w:t>____</w:t>
      </w:r>
      <w:r>
        <w:rPr>
          <w:rFonts w:hint="eastAsia" w:ascii="宋体" w:hAnsi="宋体"/>
          <w:sz w:val="24"/>
          <w:szCs w:val="24"/>
        </w:rPr>
        <w:t>月</w:t>
      </w:r>
      <w:r>
        <w:rPr>
          <w:rFonts w:ascii="宋体" w:hAnsi="宋体"/>
          <w:sz w:val="24"/>
          <w:szCs w:val="24"/>
          <w:u w:val="single"/>
        </w:rPr>
        <w:t>____</w:t>
      </w:r>
      <w:r>
        <w:rPr>
          <w:rFonts w:hint="eastAsia" w:ascii="宋体" w:hAnsi="宋体"/>
          <w:sz w:val="24"/>
          <w:szCs w:val="24"/>
        </w:rPr>
        <w:t>日</w:t>
      </w:r>
    </w:p>
    <w:p>
      <w:pPr>
        <w:spacing w:line="480" w:lineRule="auto"/>
        <w:ind w:firstLine="5668" w:firstLineChars="2362"/>
        <w:rPr>
          <w:rFonts w:ascii="宋体" w:hAnsi="宋体"/>
          <w:sz w:val="24"/>
          <w:szCs w:val="24"/>
        </w:rPr>
      </w:pPr>
    </w:p>
    <w:p>
      <w:pPr>
        <w:spacing w:line="360" w:lineRule="auto"/>
        <w:rPr>
          <w:rFonts w:hint="eastAsia" w:hAnsi="宋体"/>
          <w:b/>
          <w:bCs/>
          <w:sz w:val="20"/>
          <w:szCs w:val="20"/>
        </w:rPr>
      </w:pPr>
      <w:r>
        <w:rPr>
          <w:rFonts w:hint="eastAsia" w:ascii="宋体" w:hAnsi="宋体"/>
          <w:b/>
          <w:sz w:val="20"/>
          <w:szCs w:val="20"/>
        </w:rPr>
        <w:t>注：此表</w:t>
      </w:r>
      <w:r>
        <w:rPr>
          <w:rFonts w:hint="eastAsia" w:hAnsi="宋体"/>
          <w:b/>
          <w:bCs/>
          <w:sz w:val="20"/>
          <w:szCs w:val="20"/>
        </w:rPr>
        <w:t>由投标单位根据实际情况填写，必须由对应的负责人亲笔签字确认。</w:t>
      </w:r>
    </w:p>
    <w:p>
      <w:pPr>
        <w:ind w:left="6380" w:leftChars="2900"/>
        <w:rPr>
          <w:color w:val="000000"/>
        </w:rPr>
      </w:pPr>
    </w:p>
    <w:p>
      <w:pPr>
        <w:ind w:left="6380" w:leftChars="2900"/>
        <w:rPr>
          <w:color w:val="000000"/>
        </w:rPr>
      </w:pPr>
    </w:p>
    <w:p>
      <w:pPr>
        <w:tabs>
          <w:tab w:val="left" w:pos="4844"/>
        </w:tabs>
        <w:sectPr>
          <w:headerReference r:id="rId15" w:type="default"/>
          <w:footerReference r:id="rId16" w:type="default"/>
          <w:pgSz w:w="11910" w:h="16840"/>
          <w:pgMar w:top="1440" w:right="1527" w:bottom="1440" w:left="1583" w:header="671" w:footer="720" w:gutter="0"/>
          <w:pgBorders>
            <w:top w:val="none" w:sz="0" w:space="0"/>
            <w:left w:val="none" w:sz="0" w:space="0"/>
            <w:bottom w:val="none" w:sz="0" w:space="0"/>
            <w:right w:val="none" w:sz="0" w:space="0"/>
          </w:pgBorders>
          <w:pgNumType w:fmt="decimal"/>
          <w:cols w:space="720" w:num="1"/>
        </w:sectPr>
      </w:pPr>
    </w:p>
    <w:p>
      <w:pPr>
        <w:pStyle w:val="14"/>
        <w:spacing w:line="360" w:lineRule="auto"/>
        <w:jc w:val="center"/>
        <w:rPr>
          <w:rFonts w:hint="eastAsia"/>
          <w:b/>
          <w:bCs/>
          <w:color w:val="000000"/>
          <w:sz w:val="44"/>
          <w:szCs w:val="44"/>
          <w:lang w:val="en-US" w:bidi="ar-SA"/>
        </w:rPr>
      </w:pPr>
      <w:r>
        <w:rPr>
          <w:rFonts w:hint="eastAsia"/>
          <w:b/>
          <w:bCs/>
          <w:color w:val="000000"/>
          <w:sz w:val="44"/>
          <w:szCs w:val="44"/>
          <w:lang w:val="en-US" w:bidi="ar-SA"/>
        </w:rPr>
        <w:t>十</w:t>
      </w:r>
      <w:r>
        <w:rPr>
          <w:rFonts w:hint="eastAsia"/>
          <w:b/>
          <w:bCs/>
          <w:color w:val="000000"/>
          <w:sz w:val="44"/>
          <w:szCs w:val="44"/>
          <w:lang w:val="en-US" w:eastAsia="zh-CN" w:bidi="ar-SA"/>
        </w:rPr>
        <w:t>一</w:t>
      </w:r>
      <w:r>
        <w:rPr>
          <w:rFonts w:hint="eastAsia"/>
          <w:b/>
          <w:bCs/>
          <w:color w:val="000000"/>
          <w:sz w:val="44"/>
          <w:szCs w:val="44"/>
          <w:lang w:val="en-US" w:bidi="ar-SA"/>
        </w:rPr>
        <w:t>、需要提交的其他投标资料</w:t>
      </w:r>
    </w:p>
    <w:p>
      <w:pPr>
        <w:ind w:left="964" w:hanging="964" w:hangingChars="400"/>
        <w:rPr>
          <w:rFonts w:ascii="宋体" w:hAnsi="宋体" w:cs="宋体"/>
          <w:b/>
          <w:color w:val="000000"/>
          <w:sz w:val="26"/>
          <w:szCs w:val="26"/>
        </w:rPr>
      </w:pPr>
      <w:r>
        <w:rPr>
          <w:rFonts w:hint="eastAsia"/>
          <w:b/>
          <w:color w:val="000000"/>
          <w:sz w:val="24"/>
        </w:rPr>
        <w:t>项目名称：</w:t>
      </w:r>
      <w:r>
        <w:rPr>
          <w:rFonts w:hint="eastAsia"/>
          <w:b/>
          <w:color w:val="000000"/>
          <w:sz w:val="24"/>
          <w:lang w:eastAsia="zh-CN"/>
        </w:rPr>
        <w:t>云安区生猪产业园—优质生猪标准化规模养殖基地项目</w:t>
      </w:r>
    </w:p>
    <w:p>
      <w:pPr>
        <w:ind w:left="588" w:firstLine="260" w:firstLineChars="100"/>
        <w:rPr>
          <w:rFonts w:hint="eastAsia" w:ascii="宋体" w:hAnsi="宋体" w:cs="宋体"/>
          <w:b/>
          <w:color w:val="000000"/>
          <w:sz w:val="27"/>
          <w:szCs w:val="21"/>
          <w:lang w:val="zh-CN" w:bidi="zh-CN"/>
        </w:rPr>
      </w:pPr>
      <w:r>
        <w:rPr>
          <w:rFonts w:hint="eastAsia" w:ascii="宋体" w:hAnsi="宋体" w:cs="宋体"/>
          <w:color w:val="000000"/>
          <w:sz w:val="26"/>
          <w:szCs w:val="26"/>
        </w:rPr>
        <mc:AlternateContent>
          <mc:Choice Requires="wpg">
            <w:drawing>
              <wp:anchor distT="0" distB="0" distL="114300" distR="114300" simplePos="0" relativeHeight="251673600" behindDoc="1" locked="0" layoutInCell="1" allowOverlap="1">
                <wp:simplePos x="0" y="0"/>
                <wp:positionH relativeFrom="page">
                  <wp:posOffset>632460</wp:posOffset>
                </wp:positionH>
                <wp:positionV relativeFrom="paragraph">
                  <wp:posOffset>196215</wp:posOffset>
                </wp:positionV>
                <wp:extent cx="6217920" cy="7228205"/>
                <wp:effectExtent l="0" t="0" r="11430" b="10795"/>
                <wp:wrapNone/>
                <wp:docPr id="7" name="组合 7"/>
                <wp:cNvGraphicFramePr/>
                <a:graphic xmlns:a="http://schemas.openxmlformats.org/drawingml/2006/main">
                  <a:graphicData uri="http://schemas.microsoft.com/office/word/2010/wordprocessingGroup">
                    <wpg:wgp>
                      <wpg:cNvGrpSpPr/>
                      <wpg:grpSpPr>
                        <a:xfrm>
                          <a:off x="0" y="0"/>
                          <a:ext cx="6217920" cy="7228205"/>
                          <a:chOff x="0" y="0"/>
                          <a:chExt cx="9792" cy="11383"/>
                        </a:xfrm>
                      </wpg:grpSpPr>
                      <wps:wsp>
                        <wps:cNvPr id="1" name="直接连接符 1"/>
                        <wps:cNvSpPr/>
                        <wps:spPr>
                          <a:xfrm>
                            <a:off x="44" y="22"/>
                            <a:ext cx="9705" cy="0"/>
                          </a:xfrm>
                          <a:prstGeom prst="line">
                            <a:avLst/>
                          </a:prstGeom>
                          <a:ln w="27432" cap="flat" cmpd="sng">
                            <a:solidFill>
                              <a:srgbClr val="000000"/>
                            </a:solidFill>
                            <a:prstDash val="solid"/>
                            <a:headEnd type="none" w="med" len="med"/>
                            <a:tailEnd type="none" w="med" len="med"/>
                          </a:ln>
                        </wps:spPr>
                        <wps:bodyPr upright="1"/>
                      </wps:wsp>
                      <wps:wsp>
                        <wps:cNvPr id="2" name="直接连接符 2"/>
                        <wps:cNvSpPr/>
                        <wps:spPr>
                          <a:xfrm>
                            <a:off x="22" y="0"/>
                            <a:ext cx="0" cy="11340"/>
                          </a:xfrm>
                          <a:prstGeom prst="line">
                            <a:avLst/>
                          </a:prstGeom>
                          <a:ln w="27432" cap="flat" cmpd="sng">
                            <a:solidFill>
                              <a:srgbClr val="000000"/>
                            </a:solidFill>
                            <a:prstDash val="solid"/>
                            <a:headEnd type="none" w="med" len="med"/>
                            <a:tailEnd type="none" w="med" len="med"/>
                          </a:ln>
                        </wps:spPr>
                        <wps:bodyPr upright="1"/>
                      </wps:wsp>
                      <wps:wsp>
                        <wps:cNvPr id="3" name="矩形 3"/>
                        <wps:cNvSpPr/>
                        <wps:spPr>
                          <a:xfrm>
                            <a:off x="0" y="11340"/>
                            <a:ext cx="44" cy="44"/>
                          </a:xfrm>
                          <a:prstGeom prst="rect">
                            <a:avLst/>
                          </a:prstGeom>
                          <a:solidFill>
                            <a:srgbClr val="000000"/>
                          </a:solidFill>
                          <a:ln>
                            <a:noFill/>
                          </a:ln>
                        </wps:spPr>
                        <wps:bodyPr upright="1"/>
                      </wps:wsp>
                      <wps:wsp>
                        <wps:cNvPr id="4" name="直接连接符 4"/>
                        <wps:cNvSpPr/>
                        <wps:spPr>
                          <a:xfrm>
                            <a:off x="44" y="11362"/>
                            <a:ext cx="9705" cy="0"/>
                          </a:xfrm>
                          <a:prstGeom prst="line">
                            <a:avLst/>
                          </a:prstGeom>
                          <a:ln w="27432" cap="flat" cmpd="sng">
                            <a:solidFill>
                              <a:srgbClr val="000000"/>
                            </a:solidFill>
                            <a:prstDash val="solid"/>
                            <a:headEnd type="none" w="med" len="med"/>
                            <a:tailEnd type="none" w="med" len="med"/>
                          </a:ln>
                        </wps:spPr>
                        <wps:bodyPr upright="1"/>
                      </wps:wsp>
                      <wps:wsp>
                        <wps:cNvPr id="5" name="直接连接符 5"/>
                        <wps:cNvSpPr/>
                        <wps:spPr>
                          <a:xfrm>
                            <a:off x="9770" y="0"/>
                            <a:ext cx="0" cy="11340"/>
                          </a:xfrm>
                          <a:prstGeom prst="line">
                            <a:avLst/>
                          </a:prstGeom>
                          <a:ln w="27432" cap="flat" cmpd="sng">
                            <a:solidFill>
                              <a:srgbClr val="000000"/>
                            </a:solidFill>
                            <a:prstDash val="solid"/>
                            <a:headEnd type="none" w="med" len="med"/>
                            <a:tailEnd type="none" w="med" len="med"/>
                          </a:ln>
                        </wps:spPr>
                        <wps:bodyPr upright="1"/>
                      </wps:wsp>
                      <wps:wsp>
                        <wps:cNvPr id="6" name="矩形 6"/>
                        <wps:cNvSpPr/>
                        <wps:spPr>
                          <a:xfrm>
                            <a:off x="9748" y="11340"/>
                            <a:ext cx="44" cy="44"/>
                          </a:xfrm>
                          <a:prstGeom prst="rect">
                            <a:avLst/>
                          </a:prstGeom>
                          <a:solidFill>
                            <a:srgbClr val="000000"/>
                          </a:solidFill>
                          <a:ln>
                            <a:noFill/>
                          </a:ln>
                        </wps:spPr>
                        <wps:bodyPr upright="1"/>
                      </wps:wsp>
                    </wpg:wgp>
                  </a:graphicData>
                </a:graphic>
              </wp:anchor>
            </w:drawing>
          </mc:Choice>
          <mc:Fallback>
            <w:pict>
              <v:group id="_x0000_s1026" o:spid="_x0000_s1026" o:spt="203" style="position:absolute;left:0pt;margin-left:49.8pt;margin-top:15.45pt;height:569.15pt;width:489.6pt;mso-position-horizontal-relative:page;z-index:-251642880;mso-width-relative:page;mso-height-relative:page;" coordsize="9792,11383" o:gfxdata="UEsDBAoAAAAAAIdO4kAAAAAAAAAAAAAAAAAEAAAAZHJzL1BLAwQUAAAACACHTuJAaaB30dsAAAAL&#10;AQAADwAAAGRycy9kb3ducmV2LnhtbE2PQUvDQBCF74L/YRnBm91Ni7GJ2RQp6qkItoJ422anSWh2&#10;NmS3SfvvnZ70No/3ePO9YnV2nRhxCK0nDclMgUCqvG2p1vC1e3tYggjRkDWdJ9RwwQCr8vamMLn1&#10;E33iuI214BIKudHQxNjnUoaqQWfCzPdI7B384ExkOdTSDmbictfJuVKpdKYl/tCYHtcNVsftyWl4&#10;n8z0skhex83xsL787B4/vjcJan1/l6hnEBHP8S8MV3xGh5KZ9v5ENohOQ5alnNSwUBmIq6+elrxl&#10;z1eSZnOQZSH/byh/AVBLAwQUAAAACACHTuJAItX5gBcDAAAiDgAADgAAAGRycy9lMm9Eb2MueG1s&#10;7VdNb9MwGL4j8R8s31matDRrtHYHuu2CAGnwA7zE+ZAc27Ldpr1z4IS4I4GEBBISR24I8WvG+Bm8&#10;ttNs66ZRQEIVWg+pk9iv/T7P8z6O9/YXNUNzqnQl+BiHOz2MKE9FVvFijJ89Pby3i5E2hGeECU7H&#10;eEk13p/cvbPXyIRGohQsowpBEK6TRo5xaYxMgkCnJa2J3hGScniZC1UTA7eqCDJFGohesyDq9YZB&#10;I1QmlUip1vB06l/iNqLaJKDI8yqlU5HOasqNj6ooIwZS0mUlNZ641eY5Tc3jPNfUIDbGkKlxV5gE&#10;2if2Gkz2SFIoIssqbZdANlnCWk41qThM2oWaEkPQTFVXQtVVqoQWudlJRR34RBwikEXYW8PmSImZ&#10;dLkUSVPIDnQgag31Pw6bPpo/UajKxjjGiJMaCD/78vz01QsUW2waWSTQ5UjJY/lEtQ8Kf2fTXeSq&#10;tv+QCFo4VJcdqnRhUAoPh1EYjyIAPIV3cRTtRr37Hve0BHKujEvLg3bkCMb5YWHY3+3bQcFqzsAu&#10;rVtJI0GM+hwh/XcIHZdEUge8tum3CIUdQq8/f3/5/se3N3A9+/QBhR4q17fDSScaILsGpMEAI0Ai&#10;ijwIK5hGMcDiMHKq7BIliVTaHFFRI9sYY1ZxuzaSkPlDbTwmqy72MeOogfDxoG/BI1CiOZQGNGsJ&#10;NGteuMFasCo7rBizQ7QqTh4whebElon7tWBf6mZnmRJd+n7ulc+hpCQ74BkySwkC4uAb2K6hphlG&#10;jILN2BaslCSGVGyTnpA+40C3JdbjaFsnIlsCGTOpqqIEKBzwrg+Qb9X6D1QAoLZ1sqYCx6ddAijm&#10;1yoA+q0KWgdaiaCtEpD74FYFrtq3VAX9TgVvP55+fYecOW1MPtAM3Hcsk2TFv/UGa5Pwf9HsrniA&#10;go3tJg+4VLYbVrdFmiRcWFPwk28p9oDR9RXoQNuYhNaHgYXhrRXfYNrba8WwX14vBPd9sbEQRnHs&#10;C/LWjG/avLdXB8NOB96Mh9Y8f4P+ARx5/k8/dl/JcHRwW2l7zLFnk4v37ivr/Gg3+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poHfR2wAAAAsBAAAPAAAAAAAAAAEAIAAAACIAAABkcnMvZG93bnJl&#10;di54bWxQSwECFAAUAAAACACHTuJAItX5gBcDAAAiDgAADgAAAAAAAAABACAAAAAqAQAAZHJzL2Uy&#10;b0RvYy54bWxQSwUGAAAAAAYABgBZAQAAswYAAAAA&#10;">
                <o:lock v:ext="edit" grouping="f" rotation="f" text="f" aspectratio="f"/>
                <v:line id="_x0000_s1026" o:spid="_x0000_s1026" o:spt="20" style="position:absolute;left:44;top:22;height:0;width:9705;" filled="f" stroked="t" coordsize="21600,21600" o:gfxdata="UEsDBAoAAAAAAIdO4kAAAAAAAAAAAAAAAAAEAAAAZHJzL1BLAwQUAAAACACHTuJArj4iAboAAADa&#10;AAAADwAAAGRycy9kb3ducmV2LnhtbEVPPWvDMBDdA/kP4gLdEjkdSnCjZCgtKe2S2B3c7ZCulql1&#10;ciw5Tv99ZQhkOh7v87b7q2vFhfrQeFawXmUgiLU3DdcKvsq35QZEiMgGW8+k4I8C7Hfz2RZz40c+&#10;0aWItUghHHJUYGPscimDtuQwrHxHnLgf3zuMCfa1ND2OKdy18jHLnqTDhlODxY5eLOnfYnAKXj+G&#10;z0Npv4/VWFRm0McBzw0p9bBYZ88gIl3jXXxzv5s0H6ZXpit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PiIBugAAANoA&#10;AAAPAAAAAAAAAAEAIAAAACIAAABkcnMvZG93bnJldi54bWxQSwECFAAUAAAACACHTuJAMy8FnjsA&#10;AAA5AAAAEAAAAAAAAAABACAAAAAJAQAAZHJzL3NoYXBleG1sLnhtbFBLBQYAAAAABgAGAFsBAACz&#10;AwAAAAA=&#10;">
                  <v:fill on="f" focussize="0,0"/>
                  <v:stroke weight="2.16pt" color="#000000" joinstyle="round"/>
                  <v:imagedata o:title=""/>
                  <o:lock v:ext="edit" aspectratio="f"/>
                </v:line>
                <v:line id="_x0000_s1026" o:spid="_x0000_s1026" o:spt="20" style="position:absolute;left:22;top:0;height:11340;width:0;" filled="f" stroked="t" coordsize="21600,21600" o:gfxdata="UEsDBAoAAAAAAIdO4kAAAAAAAAAAAAAAAAAEAAAAZHJzL1BLAwQUAAAACACHTuJAXuy8drsAAADa&#10;AAAADwAAAGRycy9kb3ducmV2LnhtbEWPQYvCMBSE7wv+h/AEb2uqB5Fq9LAoil60enBvj+ZtU7Z5&#10;qU1q9d8bQfA4zMw3zHx5t5W4UeNLxwpGwwQEce50yYWC82n9PQXhA7LGyjEpeJCH5aL3NcdUu46P&#10;dMtCISKEfYoKTAh1KqXPDVn0Q1cTR+/PNRZDlE0hdYNdhNtKjpNkIi2WHBcM1vRjKP/PWqtgtWv3&#10;m5P5PVy67KLb/NDitSSlBv1RMgMR6B4+4Xd7qxWM4XUl3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y8drsAAADa&#10;AAAADwAAAAAAAAABACAAAAAiAAAAZHJzL2Rvd25yZXYueG1sUEsBAhQAFAAAAAgAh07iQDMvBZ47&#10;AAAAOQAAABAAAAAAAAAAAQAgAAAACgEAAGRycy9zaGFwZXhtbC54bWxQSwUGAAAAAAYABgBbAQAA&#10;tAMAAAAA&#10;">
                  <v:fill on="f" focussize="0,0"/>
                  <v:stroke weight="2.16pt" color="#000000" joinstyle="round"/>
                  <v:imagedata o:title=""/>
                  <o:lock v:ext="edit" aspectratio="f"/>
                </v:line>
                <v:rect id="_x0000_s1026" o:spid="_x0000_s1026" o:spt="1" style="position:absolute;left:0;top:11340;height:44;width:44;"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44;top:11362;height:0;width:9705;" filled="f" stroked="t" coordsize="21600,21600" o:gfxdata="UEsDBAoAAAAAAIdO4kAAAAAAAAAAAAAAAAAEAAAAZHJzL1BLAwQUAAAACACHTuJAvkmBmb0AAADa&#10;AAAADwAAAGRycy9kb3ducmV2LnhtbEWPzWrDMBCE74G8g9hAb4nsUkpwo+RQElLai+vkkNwWa2uZ&#10;WivHkn/69lWhkOMwM98wm91kGzFQ52vHCtJVAoK4dLrmSsH5dFiuQfiArLFxTAp+yMNuO59tMNNu&#10;5E8ailCJCGGfoQITQptJ6UtDFv3KtcTR+3KdxRBlV0nd4RjhtpGPSfIsLdYcFwy29Gqo/C56q2D/&#10;3n8cT+aaX8biovsy7/FWk1IPizR5ARFoCvfwf/tNK3iCvyvx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YGZvQAA&#10;ANoAAAAPAAAAAAAAAAEAIAAAACIAAABkcnMvZG93bnJldi54bWxQSwECFAAUAAAACACHTuJAMy8F&#10;njsAAAA5AAAAEAAAAAAAAAABACAAAAAMAQAAZHJzL3NoYXBleG1sLnhtbFBLBQYAAAAABgAGAFsB&#10;AAC2AwAAAAA=&#10;">
                  <v:fill on="f" focussize="0,0"/>
                  <v:stroke weight="2.16pt" color="#000000" joinstyle="round"/>
                  <v:imagedata o:title=""/>
                  <o:lock v:ext="edit" aspectratio="f"/>
                </v:line>
                <v:line id="_x0000_s1026" o:spid="_x0000_s1026" o:spt="20" style="position:absolute;left:9770;top:0;height:11340;width:0;" filled="f" stroked="t" coordsize="21600,21600" o:gfxdata="UEsDBAoAAAAAAIdO4kAAAAAAAAAAAAAAAAAEAAAAZHJzL1BLAwQUAAAACACHTuJA0QUkAr0AAADa&#10;AAAADwAAAGRycy9kb3ducmV2LnhtbEWPzWrDMBCE74G8g9hAb4nsQktwo+RQElLai+vkkNwWa2uZ&#10;WivHkn/69lWhkOMwM98wm91kGzFQ52vHCtJVAoK4dLrmSsH5dFiuQfiArLFxTAp+yMNuO59tMNNu&#10;5E8ailCJCGGfoQITQptJ6UtDFv3KtcTR+3KdxRBlV0nd4RjhtpGPSfIsLdYcFwy29Gqo/C56q2D/&#10;3n8cT+aaX8biovsy7/FWk1IPizR5ARFoCvfwf/tNK3iCvyvx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BSQCvQAA&#10;ANoAAAAPAAAAAAAAAAEAIAAAACIAAABkcnMvZG93bnJldi54bWxQSwECFAAUAAAACACHTuJAMy8F&#10;njsAAAA5AAAAEAAAAAAAAAABACAAAAAMAQAAZHJzL3NoYXBleG1sLnhtbFBLBQYAAAAABgAGAFsB&#10;AAC2AwAAAAA=&#10;">
                  <v:fill on="f" focussize="0,0"/>
                  <v:stroke weight="2.16pt" color="#000000" joinstyle="round"/>
                  <v:imagedata o:title=""/>
                  <o:lock v:ext="edit" aspectratio="f"/>
                </v:line>
                <v:rect id="_x0000_s1026" o:spid="_x0000_s1026" o:spt="1" style="position:absolute;left:9748;top:11340;height:44;width:44;"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group>
            </w:pict>
          </mc:Fallback>
        </mc:AlternateContent>
      </w:r>
    </w:p>
    <w:p>
      <w:pPr>
        <w:keepNext w:val="0"/>
        <w:keepLines w:val="0"/>
        <w:pageBreakBefore w:val="0"/>
        <w:widowControl/>
        <w:kinsoku/>
        <w:wordWrap/>
        <w:overflowPunct/>
        <w:topLinePunct w:val="0"/>
        <w:autoSpaceDE/>
        <w:autoSpaceDN/>
        <w:bidi w:val="0"/>
        <w:adjustRightInd/>
        <w:snapToGrid/>
        <w:ind w:left="0" w:firstLine="240" w:firstLineChars="100"/>
        <w:textAlignment w:val="auto"/>
        <w:rPr>
          <w:rFonts w:hint="eastAsia" w:ascii="宋体" w:hAnsi="宋体" w:cs="宋体"/>
          <w:b w:val="0"/>
          <w:bCs/>
          <w:color w:val="000000"/>
          <w:sz w:val="24"/>
          <w:szCs w:val="24"/>
        </w:rPr>
      </w:pPr>
    </w:p>
    <w:p>
      <w:pPr>
        <w:keepNext w:val="0"/>
        <w:keepLines w:val="0"/>
        <w:pageBreakBefore w:val="0"/>
        <w:widowControl/>
        <w:kinsoku/>
        <w:wordWrap/>
        <w:overflowPunct/>
        <w:topLinePunct w:val="0"/>
        <w:autoSpaceDE/>
        <w:autoSpaceDN/>
        <w:bidi w:val="0"/>
        <w:adjustRightInd/>
        <w:snapToGrid/>
        <w:ind w:left="438" w:leftChars="199" w:firstLine="0" w:firstLineChars="0"/>
        <w:jc w:val="center"/>
        <w:textAlignment w:val="auto"/>
        <w:rPr>
          <w:rFonts w:hint="eastAsia" w:ascii="宋体" w:hAnsi="宋体" w:cs="宋体"/>
          <w:b w:val="0"/>
          <w:bCs/>
          <w:color w:val="000000"/>
          <w:sz w:val="24"/>
          <w:szCs w:val="24"/>
        </w:rPr>
      </w:pPr>
      <w:r>
        <w:rPr>
          <w:rFonts w:hint="eastAsia" w:ascii="宋体" w:hAnsi="宋体" w:cs="宋体"/>
          <w:b w:val="0"/>
          <w:bCs/>
          <w:color w:val="000000"/>
          <w:sz w:val="24"/>
          <w:szCs w:val="24"/>
        </w:rPr>
        <w:t>需要提交的其他投标资料</w:t>
      </w:r>
    </w:p>
    <w:p>
      <w:pPr>
        <w:keepNext w:val="0"/>
        <w:keepLines w:val="0"/>
        <w:pageBreakBefore w:val="0"/>
        <w:widowControl/>
        <w:kinsoku/>
        <w:wordWrap/>
        <w:overflowPunct/>
        <w:topLinePunct w:val="0"/>
        <w:autoSpaceDE/>
        <w:autoSpaceDN/>
        <w:bidi w:val="0"/>
        <w:adjustRightInd/>
        <w:snapToGrid/>
        <w:ind w:left="0"/>
        <w:jc w:val="center"/>
        <w:textAlignment w:val="auto"/>
        <w:rPr>
          <w:rFonts w:ascii="宋体" w:hAnsi="宋体" w:cs="宋体"/>
          <w:b w:val="0"/>
          <w:bCs/>
          <w:color w:val="000000"/>
          <w:sz w:val="24"/>
        </w:rPr>
      </w:pPr>
      <w:r>
        <w:rPr>
          <w:rFonts w:hint="eastAsia" w:ascii="宋体" w:hAnsi="宋体" w:cs="宋体"/>
          <w:b w:val="0"/>
          <w:bCs/>
          <w:color w:val="000000"/>
          <w:sz w:val="24"/>
          <w:szCs w:val="24"/>
        </w:rPr>
        <w:t>（除特别要求提供原件的材料外，提供复印件的须加盖</w:t>
      </w:r>
      <w:r>
        <w:rPr>
          <w:rFonts w:hint="eastAsia" w:ascii="宋体" w:hAnsi="宋体" w:cs="宋体"/>
          <w:b w:val="0"/>
          <w:bCs/>
          <w:color w:val="000000"/>
          <w:sz w:val="24"/>
        </w:rPr>
        <w:t>公章）：</w:t>
      </w:r>
    </w:p>
    <w:p>
      <w:pPr>
        <w:pStyle w:val="16"/>
        <w:keepNext w:val="0"/>
        <w:keepLines w:val="0"/>
        <w:pageBreakBefore w:val="0"/>
        <w:widowControl/>
        <w:kinsoku/>
        <w:wordWrap/>
        <w:overflowPunct/>
        <w:topLinePunct w:val="0"/>
        <w:autoSpaceDE/>
        <w:autoSpaceDN/>
        <w:bidi w:val="0"/>
        <w:adjustRightInd/>
        <w:snapToGrid/>
        <w:ind w:left="0"/>
        <w:textAlignment w:val="auto"/>
        <w:rPr>
          <w:rFonts w:hint="eastAsia"/>
          <w:b w:val="0"/>
          <w:bCs/>
        </w:rPr>
      </w:pPr>
    </w:p>
    <w:p>
      <w:pPr>
        <w:pStyle w:val="14"/>
        <w:keepNext w:val="0"/>
        <w:keepLines w:val="0"/>
        <w:pageBreakBefore w:val="0"/>
        <w:widowControl/>
        <w:numPr>
          <w:ilvl w:val="0"/>
          <w:numId w:val="0"/>
        </w:numPr>
        <w:kinsoku/>
        <w:wordWrap/>
        <w:overflowPunct/>
        <w:topLinePunct w:val="0"/>
        <w:autoSpaceDE/>
        <w:autoSpaceDN/>
        <w:bidi w:val="0"/>
        <w:adjustRightInd/>
        <w:snapToGrid/>
        <w:spacing w:line="357" w:lineRule="auto"/>
        <w:ind w:left="0" w:leftChars="0" w:right="0" w:rightChars="0" w:firstLine="440" w:firstLineChars="200"/>
        <w:textAlignment w:val="auto"/>
        <w:rPr>
          <w:rFonts w:hint="eastAsia" w:eastAsia="宋体"/>
          <w:b w:val="0"/>
          <w:bCs/>
          <w:color w:val="000000"/>
          <w:sz w:val="22"/>
          <w:szCs w:val="22"/>
        </w:rPr>
      </w:pPr>
    </w:p>
    <w:p>
      <w:pPr>
        <w:adjustRightInd w:val="0"/>
        <w:snapToGrid w:val="0"/>
        <w:spacing w:line="360" w:lineRule="auto"/>
        <w:ind w:left="436" w:leftChars="190" w:right="550" w:rightChars="250" w:hanging="18" w:hangingChars="9"/>
        <w:rPr>
          <w:rFonts w:hint="eastAsia"/>
          <w:b w:val="0"/>
          <w:bCs/>
          <w:color w:val="000000"/>
          <w:sz w:val="22"/>
          <w:szCs w:val="22"/>
        </w:rPr>
      </w:pPr>
      <w:r>
        <w:rPr>
          <w:rFonts w:hint="eastAsia" w:ascii="宋体" w:hAnsi="宋体" w:cs="宋体"/>
          <w:color w:val="000000"/>
          <w:sz w:val="21"/>
          <w:szCs w:val="21"/>
          <w:lang w:val="en-US" w:eastAsia="zh-CN"/>
        </w:rPr>
        <w:t>1</w:t>
      </w:r>
      <w:r>
        <w:rPr>
          <w:rFonts w:hint="eastAsia" w:cs="宋体"/>
          <w:color w:val="000000"/>
          <w:sz w:val="21"/>
          <w:szCs w:val="21"/>
          <w:lang w:val="en-US" w:eastAsia="zh-CN"/>
        </w:rPr>
        <w:t>.</w:t>
      </w:r>
      <w:r>
        <w:rPr>
          <w:rFonts w:hint="eastAsia" w:ascii="宋体" w:hAnsi="宋体" w:cs="宋体"/>
          <w:color w:val="000000"/>
          <w:kern w:val="2"/>
          <w:sz w:val="21"/>
          <w:szCs w:val="21"/>
        </w:rPr>
        <w:t>投标人没有被列入失信被执行人黑名单，</w:t>
      </w:r>
      <w:r>
        <w:rPr>
          <w:rFonts w:hint="eastAsia" w:ascii="宋体" w:hAnsi="宋体" w:eastAsia="宋体" w:cs="宋体"/>
          <w:color w:val="000000"/>
          <w:kern w:val="2"/>
          <w:sz w:val="21"/>
          <w:szCs w:val="21"/>
        </w:rPr>
        <w:t>须提供在“中国执行信息公开网”（http://zxgk.court.gov.cn/shixin/）的网页截图或网页打印件</w:t>
      </w:r>
      <w:r>
        <w:rPr>
          <w:rFonts w:hint="eastAsia"/>
          <w:b w:val="0"/>
          <w:bCs/>
          <w:color w:val="000000"/>
          <w:spacing w:val="-3"/>
          <w:sz w:val="22"/>
          <w:szCs w:val="22"/>
        </w:rPr>
        <w:t>。</w:t>
      </w:r>
    </w:p>
    <w:p>
      <w:pPr>
        <w:pStyle w:val="14"/>
        <w:keepNext w:val="0"/>
        <w:keepLines w:val="0"/>
        <w:pageBreakBefore w:val="0"/>
        <w:widowControl/>
        <w:kinsoku/>
        <w:wordWrap/>
        <w:overflowPunct/>
        <w:topLinePunct w:val="0"/>
        <w:autoSpaceDE/>
        <w:autoSpaceDN/>
        <w:bidi w:val="0"/>
        <w:adjustRightInd/>
        <w:snapToGrid/>
        <w:ind w:left="437" w:leftChars="190" w:right="550" w:rightChars="250" w:hanging="19" w:hangingChars="9"/>
        <w:textAlignment w:val="auto"/>
        <w:rPr>
          <w:rFonts w:hint="eastAsia"/>
          <w:b w:val="0"/>
          <w:bCs/>
          <w:color w:val="000000"/>
          <w:sz w:val="22"/>
          <w:szCs w:val="22"/>
        </w:rPr>
      </w:pPr>
      <w:r>
        <w:rPr>
          <w:rFonts w:hint="eastAsia"/>
          <w:b w:val="0"/>
          <w:bCs/>
          <w:color w:val="000000"/>
          <w:sz w:val="22"/>
          <w:szCs w:val="22"/>
          <w:lang w:val="en-US" w:eastAsia="zh-CN"/>
        </w:rPr>
        <w:t>2.</w:t>
      </w:r>
      <w:r>
        <w:rPr>
          <w:rFonts w:hint="eastAsia"/>
          <w:b w:val="0"/>
          <w:bCs/>
          <w:color w:val="000000"/>
          <w:sz w:val="22"/>
          <w:szCs w:val="22"/>
        </w:rPr>
        <w:t>投标人认为应该提交的其他资料。（格式自拟）</w:t>
      </w:r>
    </w:p>
    <w:p>
      <w:pPr>
        <w:spacing w:line="360" w:lineRule="auto"/>
        <w:jc w:val="center"/>
        <w:rPr>
          <w:rFonts w:hint="eastAsia" w:ascii="宋体" w:hAnsi="宋体" w:cs="宋体"/>
          <w:b/>
          <w:bCs/>
          <w:color w:val="000000"/>
          <w:spacing w:val="-1"/>
          <w:w w:val="95"/>
          <w:sz w:val="56"/>
          <w:szCs w:val="56"/>
          <w:lang w:eastAsia="zh-CN"/>
        </w:rPr>
      </w:pPr>
      <w:bookmarkStart w:id="589" w:name="_TOC_250001"/>
      <w:bookmarkEnd w:id="589"/>
      <w:r>
        <w:rPr>
          <w:rFonts w:hint="eastAsia" w:ascii="宋体" w:hAnsi="宋体" w:cs="宋体"/>
          <w:b/>
          <w:color w:val="000000"/>
        </w:rPr>
        <w:br w:type="page"/>
      </w:r>
    </w:p>
    <w:p>
      <w:pPr>
        <w:spacing w:line="360" w:lineRule="auto"/>
        <w:jc w:val="center"/>
        <w:rPr>
          <w:rFonts w:hint="eastAsia" w:ascii="宋体" w:hAnsi="宋体" w:cs="宋体"/>
          <w:b/>
          <w:bCs/>
          <w:color w:val="000000"/>
          <w:spacing w:val="-1"/>
          <w:w w:val="95"/>
          <w:sz w:val="56"/>
          <w:szCs w:val="56"/>
          <w:lang w:eastAsia="zh-CN"/>
        </w:rPr>
      </w:pPr>
      <w:r>
        <w:rPr>
          <w:rFonts w:hint="eastAsia" w:cs="宋体"/>
          <w:b/>
          <w:bCs/>
          <w:color w:val="000000"/>
          <w:spacing w:val="-1"/>
          <w:w w:val="95"/>
          <w:sz w:val="56"/>
          <w:szCs w:val="56"/>
          <w:lang w:eastAsia="zh-CN"/>
        </w:rPr>
        <w:t>云安区生猪产业园—优质生猪标准化规模养殖基地项目</w:t>
      </w:r>
    </w:p>
    <w:p>
      <w:pPr>
        <w:spacing w:line="360" w:lineRule="auto"/>
        <w:jc w:val="center"/>
        <w:rPr>
          <w:rFonts w:hint="eastAsia" w:ascii="宋体" w:hAnsi="宋体" w:cs="宋体"/>
          <w:b/>
          <w:bCs/>
          <w:color w:val="000000"/>
          <w:sz w:val="56"/>
          <w:szCs w:val="56"/>
        </w:rPr>
      </w:pPr>
    </w:p>
    <w:p>
      <w:pPr>
        <w:pStyle w:val="14"/>
        <w:rPr>
          <w:rFonts w:hint="eastAsia"/>
          <w:b/>
          <w:bCs/>
          <w:color w:val="000000"/>
          <w:sz w:val="52"/>
          <w:szCs w:val="52"/>
        </w:rPr>
      </w:pPr>
    </w:p>
    <w:p>
      <w:pPr>
        <w:pStyle w:val="14"/>
        <w:rPr>
          <w:rFonts w:hint="eastAsia"/>
          <w:color w:val="000000"/>
          <w:sz w:val="44"/>
        </w:rPr>
      </w:pPr>
    </w:p>
    <w:p>
      <w:pPr>
        <w:pStyle w:val="14"/>
        <w:rPr>
          <w:rFonts w:hint="eastAsia"/>
          <w:color w:val="000000"/>
          <w:sz w:val="44"/>
        </w:rPr>
      </w:pPr>
    </w:p>
    <w:p>
      <w:pPr>
        <w:tabs>
          <w:tab w:val="left" w:pos="1440"/>
          <w:tab w:val="left" w:pos="2880"/>
          <w:tab w:val="left" w:pos="4320"/>
        </w:tabs>
        <w:spacing w:before="395" w:beforeLines="0"/>
        <w:jc w:val="center"/>
        <w:rPr>
          <w:rFonts w:hint="eastAsia" w:ascii="宋体" w:hAnsi="宋体" w:cs="宋体"/>
          <w:b/>
          <w:bCs/>
          <w:color w:val="000000"/>
          <w:sz w:val="72"/>
        </w:rPr>
      </w:pPr>
      <w:r>
        <w:rPr>
          <w:rFonts w:hint="eastAsia" w:cs="宋体"/>
          <w:b/>
          <w:bCs/>
          <w:color w:val="000000"/>
          <w:sz w:val="72"/>
          <w:lang w:val="en-US" w:eastAsia="zh-CN"/>
        </w:rPr>
        <w:t>施工</w:t>
      </w:r>
      <w:r>
        <w:rPr>
          <w:rFonts w:hint="eastAsia" w:ascii="宋体" w:hAnsi="宋体" w:cs="宋体"/>
          <w:b/>
          <w:bCs/>
          <w:color w:val="000000"/>
          <w:sz w:val="72"/>
          <w:lang w:val="en-US" w:eastAsia="zh-CN"/>
        </w:rPr>
        <w:t>投标</w:t>
      </w:r>
      <w:r>
        <w:rPr>
          <w:rFonts w:hint="eastAsia" w:ascii="宋体" w:hAnsi="宋体" w:cs="宋体"/>
          <w:b/>
          <w:bCs/>
          <w:color w:val="000000"/>
          <w:sz w:val="72"/>
        </w:rPr>
        <w:t>文件</w:t>
      </w:r>
    </w:p>
    <w:p>
      <w:pPr>
        <w:spacing w:before="371" w:beforeLines="0"/>
        <w:jc w:val="center"/>
        <w:rPr>
          <w:rFonts w:hint="default" w:ascii="宋体" w:hAnsi="宋体" w:eastAsia="宋体" w:cs="宋体"/>
          <w:b/>
          <w:color w:val="000000"/>
          <w:sz w:val="36"/>
          <w:lang w:val="en-US" w:eastAsia="zh-CN"/>
        </w:rPr>
      </w:pPr>
      <w:r>
        <w:rPr>
          <w:rFonts w:hint="eastAsia" w:cs="宋体"/>
          <w:b/>
          <w:color w:val="000000"/>
          <w:sz w:val="36"/>
          <w:lang w:val="en-US" w:eastAsia="zh-CN"/>
        </w:rPr>
        <w:t>商务部分-</w:t>
      </w:r>
      <w:r>
        <w:rPr>
          <w:rFonts w:hint="eastAsia" w:ascii="宋体" w:hAnsi="宋体" w:eastAsia="宋体" w:cs="宋体"/>
          <w:b/>
          <w:color w:val="000000"/>
          <w:sz w:val="36"/>
          <w:lang w:val="en-US" w:eastAsia="zh-CN"/>
        </w:rPr>
        <w:t>报价文件</w:t>
      </w:r>
    </w:p>
    <w:p>
      <w:pPr>
        <w:pStyle w:val="14"/>
        <w:rPr>
          <w:rFonts w:hint="eastAsia"/>
          <w:b/>
          <w:color w:val="000000"/>
          <w:sz w:val="36"/>
        </w:rPr>
      </w:pPr>
    </w:p>
    <w:p>
      <w:pPr>
        <w:pStyle w:val="14"/>
        <w:rPr>
          <w:rFonts w:hint="eastAsia"/>
          <w:b/>
          <w:color w:val="000000"/>
          <w:sz w:val="36"/>
        </w:rPr>
      </w:pPr>
    </w:p>
    <w:p>
      <w:pPr>
        <w:pStyle w:val="14"/>
        <w:rPr>
          <w:rFonts w:hint="eastAsia"/>
          <w:b/>
          <w:color w:val="000000"/>
          <w:sz w:val="36"/>
        </w:rPr>
      </w:pPr>
    </w:p>
    <w:p>
      <w:pPr>
        <w:pStyle w:val="14"/>
        <w:rPr>
          <w:rFonts w:hint="eastAsia"/>
          <w:b/>
          <w:color w:val="000000"/>
          <w:sz w:val="36"/>
        </w:rPr>
      </w:pPr>
    </w:p>
    <w:p>
      <w:pPr>
        <w:pStyle w:val="14"/>
        <w:rPr>
          <w:rFonts w:hint="eastAsia"/>
          <w:b/>
          <w:color w:val="000000"/>
          <w:sz w:val="36"/>
        </w:rPr>
      </w:pPr>
    </w:p>
    <w:p>
      <w:pPr>
        <w:pStyle w:val="14"/>
        <w:spacing w:before="11" w:beforeLines="0"/>
        <w:rPr>
          <w:rFonts w:hint="eastAsia"/>
          <w:b/>
          <w:color w:val="000000"/>
          <w:sz w:val="26"/>
        </w:rPr>
      </w:pPr>
    </w:p>
    <w:p>
      <w:pPr>
        <w:spacing w:line="360" w:lineRule="auto"/>
        <w:ind w:right="935"/>
        <w:jc w:val="both"/>
        <w:rPr>
          <w:rFonts w:hint="eastAsia" w:ascii="宋体" w:hAnsi="宋体" w:cs="宋体"/>
          <w:color w:val="000000"/>
          <w:sz w:val="28"/>
        </w:rPr>
      </w:pPr>
      <w:r>
        <w:rPr>
          <w:rFonts w:hint="eastAsia" w:ascii="宋体" w:hAnsi="宋体" w:cs="宋体"/>
          <w:color w:val="000000"/>
          <w:sz w:val="28"/>
        </w:rPr>
        <w:t>投标人：（盖单位章）</w:t>
      </w:r>
    </w:p>
    <w:p>
      <w:pPr>
        <w:spacing w:line="360" w:lineRule="auto"/>
        <w:ind w:right="935"/>
        <w:jc w:val="both"/>
        <w:rPr>
          <w:rFonts w:hint="eastAsia" w:ascii="宋体" w:hAnsi="宋体" w:eastAsia="宋体" w:cs="宋体"/>
          <w:color w:val="000000"/>
          <w:sz w:val="28"/>
        </w:rPr>
      </w:pPr>
      <w:r>
        <w:rPr>
          <w:rFonts w:hint="eastAsia" w:ascii="宋体" w:hAnsi="宋体" w:eastAsia="宋体" w:cs="宋体"/>
          <w:color w:val="000000"/>
          <w:sz w:val="28"/>
        </w:rPr>
        <w:t>法定代表人或其委托代理人：（签字或盖章）</w:t>
      </w:r>
    </w:p>
    <w:p>
      <w:pPr>
        <w:spacing w:line="360" w:lineRule="auto"/>
        <w:ind w:right="935"/>
        <w:jc w:val="both"/>
        <w:rPr>
          <w:rFonts w:hint="eastAsia" w:ascii="宋体" w:hAnsi="宋体" w:eastAsia="宋体" w:cs="宋体"/>
          <w:color w:val="000000"/>
          <w:sz w:val="28"/>
        </w:rPr>
      </w:pPr>
      <w:r>
        <w:rPr>
          <w:rFonts w:hint="eastAsia" w:ascii="宋体" w:hAnsi="宋体" w:eastAsia="宋体" w:cs="宋体"/>
          <w:color w:val="000000"/>
          <w:sz w:val="28"/>
        </w:rPr>
        <w:t>日期：  年   月   日</w:t>
      </w:r>
    </w:p>
    <w:p>
      <w:pPr>
        <w:rPr>
          <w:rFonts w:hint="eastAsia" w:ascii="宋体" w:hAnsi="宋体" w:eastAsia="宋体" w:cs="宋体"/>
          <w:color w:val="000000"/>
          <w:sz w:val="28"/>
        </w:rPr>
      </w:pPr>
      <w:r>
        <w:rPr>
          <w:rFonts w:hint="eastAsia" w:ascii="宋体" w:hAnsi="宋体" w:eastAsia="宋体" w:cs="宋体"/>
          <w:color w:val="000000"/>
          <w:sz w:val="28"/>
        </w:rPr>
        <w:br w:type="page"/>
      </w:r>
    </w:p>
    <w:p>
      <w:pPr>
        <w:ind w:left="1109" w:leftChars="504"/>
        <w:jc w:val="both"/>
        <w:outlineLvl w:val="1"/>
        <w:rPr>
          <w:sz w:val="40"/>
        </w:rPr>
      </w:pPr>
      <w:r>
        <w:rPr>
          <w:rFonts w:hint="eastAsia"/>
          <w:lang w:val="en-US" w:eastAsia="zh-CN"/>
        </w:rPr>
        <w:t xml:space="preserve">  </w:t>
      </w:r>
      <w:bookmarkStart w:id="590" w:name="_Toc10384"/>
      <w:bookmarkStart w:id="591" w:name="_Toc29458"/>
      <w:r>
        <w:rPr>
          <w:rFonts w:hint="eastAsia"/>
          <w:sz w:val="40"/>
        </w:rPr>
        <w:t>一．</w:t>
      </w:r>
      <w:r>
        <w:rPr>
          <w:sz w:val="40"/>
        </w:rPr>
        <w:t>投标报价说明</w:t>
      </w:r>
      <w:bookmarkEnd w:id="590"/>
      <w:bookmarkEnd w:id="591"/>
    </w:p>
    <w:p>
      <w:pPr>
        <w:rPr>
          <w:sz w:val="40"/>
        </w:rPr>
      </w:pP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40" w:leftChars="200" w:right="869" w:rightChars="395" w:firstLine="480" w:firstLineChars="200"/>
        <w:textAlignment w:val="auto"/>
        <w:rPr>
          <w:rFonts w:ascii="宋体" w:hAnsi="宋体" w:cs="宋体"/>
          <w:sz w:val="24"/>
          <w:szCs w:val="24"/>
        </w:rPr>
      </w:pPr>
      <w:r>
        <w:rPr>
          <w:rFonts w:hint="eastAsia" w:ascii="宋体" w:hAnsi="宋体" w:cs="宋体"/>
          <w:sz w:val="24"/>
          <w:szCs w:val="24"/>
        </w:rPr>
        <w:t>本报价依据本工程投标须知和合同文件的有关条款进行编制。</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40" w:leftChars="200" w:right="869" w:rightChars="3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工程量清单报价表中所填入的综合单价和合价，均包括人工费、材料费、机械费、管理费、利润、税金以及采用固定价格的工程所测算的风险金等全部费用。</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40" w:leftChars="200" w:right="869" w:rightChars="3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措施项目报价表中所填入的措施项目报价，包括采用的各种措施的费用。</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40" w:leftChars="200" w:right="869" w:rightChars="3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其他项目报价表中所填入的其他项目报价，包括工程量清单报价表和措施项目报价表以外的，为完成本工程项目的施工所必须发生的其他费用。</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40" w:leftChars="200" w:right="869" w:rightChars="3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本工程量清单报价表中的每一单项均应填写单价和合价，对没有填写单价和合价的项目费用，视为已包括在工程量清单的其他单价或合价之中。</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40" w:leftChars="200" w:right="869" w:rightChars="3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本报价的币种为人民币。</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40" w:leftChars="200" w:right="869" w:rightChars="39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投标人应将投标报价需要说明的事项，用文字书写与投标报价表一并报送。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right="869" w:rightChars="395"/>
        <w:textAlignment w:val="auto"/>
        <w:rPr>
          <w:sz w:val="24"/>
        </w:rPr>
      </w:pPr>
      <w:r>
        <w:rPr>
          <w:rFonts w:hint="eastAsia" w:ascii="宋体" w:hAnsi="宋体" w:eastAsia="宋体" w:cs="宋体"/>
          <w:sz w:val="24"/>
          <w:szCs w:val="24"/>
        </w:rPr>
        <w:br w:type="page"/>
      </w:r>
      <w:bookmarkStart w:id="592" w:name="_Toc23970"/>
      <w:r>
        <w:rPr>
          <w:rFonts w:hint="eastAsia" w:ascii="黑体" w:hAnsi="黑体" w:eastAsia="黑体" w:cs="黑体"/>
          <w:sz w:val="36"/>
          <w:szCs w:val="36"/>
        </w:rPr>
        <w:t>二.工程量清单报价书</w:t>
      </w:r>
      <w:bookmarkEnd w:id="592"/>
    </w:p>
    <w:p>
      <w:pPr>
        <w:spacing w:before="1" w:beforeLines="0"/>
        <w:ind w:left="326"/>
        <w:rPr>
          <w:rFonts w:ascii="宋体" w:hAnsi="宋体" w:cs="宋体"/>
          <w:szCs w:val="21"/>
        </w:rPr>
      </w:pPr>
    </w:p>
    <w:tbl>
      <w:tblPr>
        <w:tblStyle w:val="23"/>
        <w:tblpPr w:leftFromText="180" w:rightFromText="180" w:vertAnchor="text" w:tblpXSpec="center" w:tblpY="179"/>
        <w:tblOverlap w:val="never"/>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8" w:hRule="atLeast"/>
          <w:jc w:val="center"/>
        </w:trPr>
        <w:tc>
          <w:tcPr>
            <w:tcW w:w="9735" w:type="dxa"/>
            <w:noWrap w:val="0"/>
            <w:vAlign w:val="top"/>
          </w:tcPr>
          <w:p>
            <w:pPr>
              <w:spacing w:before="1" w:beforeLines="0"/>
              <w:jc w:val="left"/>
              <w:rPr>
                <w:rFonts w:ascii="宋体" w:hAnsi="宋体" w:eastAsia="宋体" w:cs="宋体"/>
                <w:color w:val="auto"/>
                <w:szCs w:val="21"/>
                <w:highlight w:val="none"/>
              </w:rPr>
            </w:pPr>
          </w:p>
          <w:p>
            <w:pPr>
              <w:spacing w:before="1" w:beforeLines="0" w:line="360" w:lineRule="auto"/>
              <w:ind w:left="670" w:leftChars="200" w:hanging="230" w:hangingChars="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投标报价书由下列格式内容组成：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封面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 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 投标总价封面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 单位工程投标报价汇总表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 分部分项工程和单价措施项目清单与计价表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 总价措施项目清单与计价表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 其他项目清单和计价汇总表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 暂列金额明细表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 规费、税金项目清单与计价表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202" w:rightChars="92"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 承包人提供主要材料和工程设备一览表</w:t>
            </w:r>
          </w:p>
          <w:p>
            <w:pPr>
              <w:spacing w:line="360" w:lineRule="auto"/>
              <w:ind w:left="670" w:leftChars="200" w:hanging="230" w:hangingChars="96"/>
              <w:rPr>
                <w:color w:val="auto"/>
                <w:sz w:val="24"/>
                <w:szCs w:val="24"/>
                <w:highlight w:val="none"/>
              </w:rPr>
            </w:pPr>
          </w:p>
          <w:p>
            <w:pPr>
              <w:spacing w:line="360" w:lineRule="auto"/>
              <w:ind w:left="670" w:leftChars="200" w:hanging="230" w:hangingChars="96"/>
              <w:rPr>
                <w:color w:val="auto"/>
                <w:sz w:val="24"/>
                <w:szCs w:val="24"/>
                <w:highlight w:val="none"/>
              </w:rPr>
            </w:pPr>
            <w:r>
              <w:rPr>
                <w:rFonts w:hint="eastAsia"/>
                <w:color w:val="auto"/>
                <w:sz w:val="24"/>
                <w:szCs w:val="24"/>
                <w:highlight w:val="none"/>
              </w:rPr>
              <w:t>说明：投标报价需要的其他资料或表格可以按工程量清单计价统一格式由投标人自行决定是否打印。</w:t>
            </w:r>
          </w:p>
          <w:p>
            <w:pPr>
              <w:spacing w:before="1" w:beforeLines="0"/>
              <w:jc w:val="left"/>
              <w:rPr>
                <w:rFonts w:ascii="宋体" w:hAnsi="宋体" w:eastAsia="宋体" w:cs="宋体"/>
                <w:color w:val="auto"/>
                <w:szCs w:val="21"/>
                <w:highlight w:val="none"/>
              </w:rPr>
            </w:pPr>
          </w:p>
        </w:tc>
      </w:tr>
    </w:tbl>
    <w:p>
      <w:pPr>
        <w:spacing w:before="38" w:beforeLines="0"/>
        <w:ind w:right="1"/>
        <w:jc w:val="right"/>
        <w:rPr>
          <w:rFonts w:hint="eastAsia" w:ascii="宋体" w:hAnsi="宋体" w:eastAsia="宋体" w:cs="宋体"/>
          <w:b w:val="0"/>
          <w:bCs/>
          <w:color w:val="000000"/>
          <w:spacing w:val="-1"/>
          <w:w w:val="95"/>
          <w:sz w:val="56"/>
          <w:szCs w:val="56"/>
          <w:highlight w:val="yellow"/>
          <w:lang w:eastAsia="zh-CN"/>
        </w:rPr>
      </w:pPr>
      <w:r>
        <w:rPr>
          <w:rFonts w:hint="eastAsia"/>
          <w:color w:val="000000"/>
        </w:rPr>
        <w:br w:type="page"/>
      </w:r>
      <w:r>
        <w:rPr>
          <w:rFonts w:hint="eastAsia" w:ascii="宋体" w:hAnsi="宋体" w:cs="宋体"/>
          <w:b w:val="0"/>
          <w:bCs/>
          <w:color w:val="000000"/>
          <w:sz w:val="32"/>
          <w:szCs w:val="32"/>
          <w:lang w:eastAsia="zh-CN"/>
        </w:rPr>
        <w:t>正本（或副本）</w:t>
      </w:r>
    </w:p>
    <w:p>
      <w:pPr>
        <w:spacing w:line="360" w:lineRule="auto"/>
        <w:jc w:val="center"/>
        <w:rPr>
          <w:rFonts w:hint="eastAsia" w:ascii="宋体" w:hAnsi="宋体" w:cs="宋体"/>
          <w:b/>
          <w:bCs/>
          <w:color w:val="000000"/>
          <w:spacing w:val="-1"/>
          <w:w w:val="95"/>
          <w:sz w:val="56"/>
          <w:szCs w:val="56"/>
          <w:highlight w:val="none"/>
          <w:lang w:eastAsia="zh-CN"/>
        </w:rPr>
      </w:pPr>
      <w:r>
        <w:rPr>
          <w:rFonts w:hint="eastAsia" w:cs="宋体"/>
          <w:b/>
          <w:bCs/>
          <w:color w:val="000000"/>
          <w:spacing w:val="-1"/>
          <w:w w:val="95"/>
          <w:sz w:val="56"/>
          <w:szCs w:val="56"/>
          <w:highlight w:val="none"/>
          <w:lang w:eastAsia="zh-CN"/>
        </w:rPr>
        <w:t>云安区生猪产业园—优质生猪标准化规模养殖基地项目</w:t>
      </w:r>
    </w:p>
    <w:p>
      <w:pPr>
        <w:spacing w:line="360" w:lineRule="auto"/>
        <w:jc w:val="center"/>
        <w:rPr>
          <w:rFonts w:hint="eastAsia" w:ascii="宋体" w:hAnsi="宋体" w:cs="宋体"/>
          <w:b/>
          <w:bCs/>
          <w:color w:val="000000"/>
          <w:sz w:val="56"/>
          <w:szCs w:val="56"/>
          <w:highlight w:val="none"/>
        </w:rPr>
      </w:pPr>
    </w:p>
    <w:p>
      <w:pPr>
        <w:pStyle w:val="14"/>
        <w:rPr>
          <w:rFonts w:hint="eastAsia"/>
          <w:b/>
          <w:bCs/>
          <w:color w:val="000000"/>
          <w:sz w:val="52"/>
          <w:szCs w:val="52"/>
          <w:highlight w:val="none"/>
        </w:rPr>
      </w:pPr>
    </w:p>
    <w:p>
      <w:pPr>
        <w:pStyle w:val="14"/>
        <w:rPr>
          <w:rFonts w:hint="eastAsia"/>
          <w:color w:val="000000"/>
          <w:sz w:val="44"/>
          <w:highlight w:val="none"/>
        </w:rPr>
      </w:pPr>
    </w:p>
    <w:p>
      <w:pPr>
        <w:pStyle w:val="14"/>
        <w:rPr>
          <w:rFonts w:hint="eastAsia"/>
          <w:color w:val="000000"/>
          <w:sz w:val="44"/>
          <w:highlight w:val="none"/>
        </w:rPr>
      </w:pPr>
    </w:p>
    <w:p>
      <w:pPr>
        <w:tabs>
          <w:tab w:val="left" w:pos="1440"/>
          <w:tab w:val="left" w:pos="2880"/>
          <w:tab w:val="left" w:pos="4320"/>
        </w:tabs>
        <w:spacing w:before="395" w:beforeLines="0"/>
        <w:jc w:val="center"/>
        <w:rPr>
          <w:rFonts w:hint="eastAsia" w:ascii="宋体" w:hAnsi="宋体" w:cs="宋体"/>
          <w:b/>
          <w:bCs/>
          <w:color w:val="000000"/>
          <w:sz w:val="72"/>
          <w:highlight w:val="none"/>
        </w:rPr>
      </w:pPr>
      <w:r>
        <w:rPr>
          <w:rFonts w:hint="eastAsia" w:cs="宋体"/>
          <w:b/>
          <w:bCs/>
          <w:color w:val="000000"/>
          <w:sz w:val="72"/>
          <w:highlight w:val="none"/>
          <w:lang w:val="en-US" w:eastAsia="zh-CN"/>
        </w:rPr>
        <w:t>施工</w:t>
      </w:r>
      <w:r>
        <w:rPr>
          <w:rFonts w:hint="eastAsia" w:ascii="宋体" w:hAnsi="宋体" w:cs="宋体"/>
          <w:b/>
          <w:bCs/>
          <w:color w:val="000000"/>
          <w:sz w:val="72"/>
          <w:highlight w:val="none"/>
          <w:lang w:val="en-US" w:eastAsia="zh-CN"/>
        </w:rPr>
        <w:t>投标</w:t>
      </w:r>
      <w:r>
        <w:rPr>
          <w:rFonts w:hint="eastAsia" w:ascii="宋体" w:hAnsi="宋体" w:cs="宋体"/>
          <w:b/>
          <w:bCs/>
          <w:color w:val="000000"/>
          <w:sz w:val="72"/>
          <w:highlight w:val="none"/>
        </w:rPr>
        <w:t>文件</w:t>
      </w:r>
    </w:p>
    <w:p>
      <w:pPr>
        <w:pStyle w:val="14"/>
        <w:jc w:val="center"/>
        <w:rPr>
          <w:rFonts w:hint="eastAsia"/>
          <w:b/>
          <w:color w:val="000000"/>
          <w:sz w:val="36"/>
          <w:highlight w:val="none"/>
        </w:rPr>
      </w:pPr>
      <w:r>
        <w:rPr>
          <w:rFonts w:hint="eastAsia" w:ascii="宋体" w:hAnsi="宋体" w:eastAsia="宋体" w:cs="宋体"/>
          <w:b/>
          <w:color w:val="000000"/>
          <w:sz w:val="36"/>
          <w:highlight w:val="none"/>
          <w:lang w:val="en-US" w:eastAsia="zh-CN"/>
        </w:rPr>
        <w:t>实施方案</w:t>
      </w:r>
    </w:p>
    <w:p>
      <w:pPr>
        <w:pStyle w:val="14"/>
        <w:rPr>
          <w:rFonts w:hint="eastAsia"/>
          <w:b/>
          <w:color w:val="000000"/>
          <w:sz w:val="36"/>
        </w:rPr>
      </w:pPr>
    </w:p>
    <w:p>
      <w:pPr>
        <w:pStyle w:val="14"/>
        <w:rPr>
          <w:rFonts w:hint="eastAsia"/>
          <w:b/>
          <w:color w:val="000000"/>
          <w:sz w:val="36"/>
        </w:rPr>
      </w:pPr>
    </w:p>
    <w:p>
      <w:pPr>
        <w:pStyle w:val="14"/>
        <w:rPr>
          <w:rFonts w:hint="eastAsia"/>
          <w:b/>
          <w:color w:val="000000"/>
          <w:sz w:val="36"/>
        </w:rPr>
      </w:pPr>
    </w:p>
    <w:p>
      <w:pPr>
        <w:pStyle w:val="14"/>
        <w:rPr>
          <w:rFonts w:hint="eastAsia"/>
          <w:b/>
          <w:color w:val="000000"/>
          <w:sz w:val="36"/>
        </w:rPr>
      </w:pPr>
    </w:p>
    <w:p>
      <w:pPr>
        <w:pStyle w:val="14"/>
        <w:spacing w:before="11" w:beforeLines="0"/>
        <w:rPr>
          <w:rFonts w:hint="eastAsia"/>
          <w:b/>
          <w:color w:val="000000"/>
          <w:sz w:val="26"/>
        </w:rPr>
      </w:pPr>
    </w:p>
    <w:p>
      <w:pPr>
        <w:spacing w:line="360" w:lineRule="auto"/>
        <w:ind w:right="935"/>
        <w:jc w:val="both"/>
        <w:rPr>
          <w:rFonts w:hint="eastAsia" w:ascii="宋体" w:hAnsi="宋体" w:cs="宋体"/>
          <w:color w:val="000000"/>
          <w:sz w:val="28"/>
        </w:rPr>
      </w:pPr>
      <w:r>
        <w:rPr>
          <w:rFonts w:hint="eastAsia" w:ascii="宋体" w:hAnsi="宋体" w:cs="宋体"/>
          <w:color w:val="000000"/>
          <w:sz w:val="28"/>
        </w:rPr>
        <w:t>投标人：（盖单位章）</w:t>
      </w:r>
    </w:p>
    <w:p>
      <w:pPr>
        <w:spacing w:line="360" w:lineRule="auto"/>
        <w:ind w:right="935"/>
        <w:jc w:val="both"/>
        <w:rPr>
          <w:rFonts w:hint="eastAsia" w:ascii="宋体" w:hAnsi="宋体" w:eastAsia="宋体" w:cs="宋体"/>
          <w:color w:val="000000"/>
          <w:sz w:val="28"/>
        </w:rPr>
      </w:pPr>
      <w:r>
        <w:rPr>
          <w:rFonts w:hint="eastAsia" w:ascii="宋体" w:hAnsi="宋体" w:eastAsia="宋体" w:cs="宋体"/>
          <w:color w:val="000000"/>
          <w:sz w:val="28"/>
        </w:rPr>
        <w:t>法定代表人或其委托代理人：（签字或盖章）</w:t>
      </w:r>
    </w:p>
    <w:p>
      <w:pPr>
        <w:spacing w:line="360" w:lineRule="auto"/>
        <w:ind w:right="935"/>
        <w:jc w:val="both"/>
        <w:rPr>
          <w:rFonts w:hint="eastAsia" w:ascii="宋体" w:hAnsi="宋体" w:eastAsia="宋体" w:cs="宋体"/>
          <w:color w:val="000000"/>
          <w:sz w:val="28"/>
        </w:rPr>
      </w:pPr>
      <w:r>
        <w:rPr>
          <w:rFonts w:hint="eastAsia" w:ascii="宋体" w:hAnsi="宋体" w:eastAsia="宋体" w:cs="宋体"/>
          <w:color w:val="000000"/>
          <w:sz w:val="28"/>
        </w:rPr>
        <w:t>日期：  年   月   日</w:t>
      </w:r>
    </w:p>
    <w:p>
      <w:pPr>
        <w:ind w:right="1250" w:rightChars="568"/>
        <w:rPr>
          <w:rFonts w:hint="eastAsia"/>
          <w:color w:val="000000"/>
          <w:sz w:val="18"/>
        </w:rPr>
      </w:pPr>
    </w:p>
    <w:p>
      <w:pPr>
        <w:pStyle w:val="14"/>
        <w:spacing w:before="11" w:beforeLines="0"/>
        <w:rPr>
          <w:rFonts w:hint="eastAsia"/>
          <w:color w:val="000000"/>
          <w:sz w:val="18"/>
        </w:rPr>
      </w:pPr>
    </w:p>
    <w:p>
      <w:pPr>
        <w:pStyle w:val="14"/>
        <w:spacing w:before="11" w:beforeLines="0"/>
        <w:rPr>
          <w:rFonts w:hint="eastAsia"/>
          <w:color w:val="000000"/>
          <w:sz w:val="18"/>
        </w:rPr>
      </w:pPr>
    </w:p>
    <w:p>
      <w:pPr>
        <w:pStyle w:val="14"/>
        <w:spacing w:before="11" w:beforeLines="0"/>
        <w:rPr>
          <w:rFonts w:hint="eastAsia"/>
          <w:color w:val="000000"/>
          <w:sz w:val="18"/>
        </w:rPr>
      </w:pPr>
    </w:p>
    <w:p>
      <w:pPr>
        <w:pStyle w:val="14"/>
        <w:spacing w:before="11" w:beforeLines="0"/>
        <w:rPr>
          <w:rFonts w:hint="eastAsia"/>
          <w:color w:val="000000"/>
          <w:sz w:val="18"/>
        </w:rPr>
      </w:pPr>
    </w:p>
    <w:p>
      <w:pPr>
        <w:pStyle w:val="14"/>
        <w:spacing w:before="11" w:beforeLines="0"/>
        <w:rPr>
          <w:rFonts w:hint="eastAsia"/>
          <w:color w:val="000000"/>
          <w:sz w:val="18"/>
        </w:rPr>
      </w:pPr>
    </w:p>
    <w:p>
      <w:pPr>
        <w:pStyle w:val="14"/>
        <w:spacing w:before="11" w:beforeLines="0"/>
        <w:rPr>
          <w:rFonts w:hint="eastAsia"/>
          <w:color w:val="000000"/>
          <w:sz w:val="18"/>
        </w:rPr>
      </w:pPr>
    </w:p>
    <w:p>
      <w:pPr>
        <w:pStyle w:val="14"/>
        <w:spacing w:before="7" w:beforeLines="0"/>
        <w:rPr>
          <w:b/>
          <w:color w:val="000000"/>
          <w:sz w:val="39"/>
        </w:rPr>
      </w:pPr>
    </w:p>
    <w:p>
      <w:pPr>
        <w:pStyle w:val="14"/>
        <w:spacing w:before="7" w:beforeLines="0"/>
        <w:rPr>
          <w:b/>
          <w:color w:val="000000"/>
          <w:sz w:val="39"/>
        </w:rPr>
      </w:pPr>
    </w:p>
    <w:p>
      <w:pPr>
        <w:pStyle w:val="14"/>
        <w:spacing w:before="7" w:beforeLines="0"/>
        <w:rPr>
          <w:b/>
          <w:color w:val="000000"/>
          <w:sz w:val="39"/>
        </w:rPr>
      </w:pPr>
    </w:p>
    <w:p>
      <w:pPr>
        <w:pStyle w:val="14"/>
        <w:spacing w:before="7" w:beforeLines="0"/>
        <w:rPr>
          <w:b/>
          <w:color w:val="000000"/>
          <w:sz w:val="39"/>
        </w:rPr>
      </w:pPr>
    </w:p>
    <w:p>
      <w:pPr>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rPr>
          <w:rFonts w:ascii="宋体" w:hAnsi="宋体" w:cs="宋体"/>
          <w:color w:val="000000"/>
          <w:sz w:val="24"/>
        </w:rPr>
      </w:pPr>
      <w:r>
        <w:rPr>
          <w:rFonts w:hint="eastAsia" w:ascii="宋体" w:hAnsi="宋体" w:cs="宋体"/>
          <w:color w:val="000000"/>
          <w:sz w:val="24"/>
        </w:rPr>
        <w:t>注：由投标人自行选择是否编制，内容自拟，格式自拟。不编制的得分为 0，但不构成废标条件。</w:t>
      </w:r>
    </w:p>
    <w:p>
      <w:pPr>
        <w:rPr>
          <w:b/>
          <w:color w:val="auto"/>
          <w:sz w:val="44"/>
          <w:highlight w:val="none"/>
        </w:rPr>
      </w:pPr>
      <w:r>
        <w:rPr>
          <w:b/>
          <w:color w:val="auto"/>
          <w:sz w:val="44"/>
          <w:highlight w:val="none"/>
        </w:rPr>
        <w:br w:type="page"/>
      </w:r>
    </w:p>
    <w:p>
      <w:pPr>
        <w:spacing w:before="0"/>
        <w:ind w:left="0" w:right="384" w:firstLine="0"/>
        <w:jc w:val="center"/>
        <w:outlineLvl w:val="0"/>
        <w:rPr>
          <w:color w:val="auto"/>
          <w:sz w:val="36"/>
          <w:highlight w:val="none"/>
        </w:rPr>
      </w:pPr>
      <w:bookmarkStart w:id="593" w:name="_Toc13805"/>
      <w:r>
        <w:rPr>
          <w:color w:val="auto"/>
          <w:sz w:val="36"/>
          <w:highlight w:val="none"/>
        </w:rPr>
        <w:t>电子投标书包装袋封面</w:t>
      </w:r>
      <w:bookmarkEnd w:id="593"/>
    </w:p>
    <w:p>
      <w:pPr>
        <w:pStyle w:val="14"/>
        <w:rPr>
          <w:color w:val="auto"/>
          <w:sz w:val="20"/>
          <w:highlight w:val="none"/>
        </w:rPr>
      </w:pPr>
    </w:p>
    <w:p>
      <w:pPr>
        <w:pStyle w:val="14"/>
        <w:spacing w:before="11"/>
        <w:rPr>
          <w:color w:val="auto"/>
          <w:highlight w:val="none"/>
        </w:rPr>
      </w:pPr>
    </w:p>
    <w:p>
      <w:pPr>
        <w:bidi w:val="0"/>
      </w:pPr>
      <w:r>
        <w:rPr>
          <w:color w:val="auto"/>
          <w:highlight w:val="none"/>
        </w:rPr>
        <mc:AlternateContent>
          <mc:Choice Requires="wpg">
            <w:drawing>
              <wp:anchor distT="0" distB="0" distL="114300" distR="114300" simplePos="0" relativeHeight="251669504" behindDoc="1" locked="0" layoutInCell="1" allowOverlap="1">
                <wp:simplePos x="0" y="0"/>
                <wp:positionH relativeFrom="page">
                  <wp:posOffset>1141730</wp:posOffset>
                </wp:positionH>
                <wp:positionV relativeFrom="paragraph">
                  <wp:posOffset>55880</wp:posOffset>
                </wp:positionV>
                <wp:extent cx="5349240" cy="3598545"/>
                <wp:effectExtent l="0" t="0" r="3810" b="1905"/>
                <wp:wrapTopAndBottom/>
                <wp:docPr id="38" name="组合 31"/>
                <wp:cNvGraphicFramePr/>
                <a:graphic xmlns:a="http://schemas.openxmlformats.org/drawingml/2006/main">
                  <a:graphicData uri="http://schemas.microsoft.com/office/word/2010/wordprocessingGroup">
                    <wpg:wgp>
                      <wpg:cNvGrpSpPr/>
                      <wpg:grpSpPr>
                        <a:xfrm>
                          <a:off x="0" y="0"/>
                          <a:ext cx="5349240" cy="3598545"/>
                          <a:chOff x="1522" y="371"/>
                          <a:chExt cx="8700" cy="5853"/>
                        </a:xfrm>
                      </wpg:grpSpPr>
                      <wps:wsp>
                        <wps:cNvPr id="27" name="任意多边形 32"/>
                        <wps:cNvSpPr/>
                        <wps:spPr>
                          <a:xfrm>
                            <a:off x="1522" y="371"/>
                            <a:ext cx="8700" cy="5853"/>
                          </a:xfrm>
                          <a:custGeom>
                            <a:avLst/>
                            <a:gdLst/>
                            <a:ahLst/>
                            <a:cxnLst/>
                            <a:pathLst>
                              <a:path w="8700" h="5853">
                                <a:moveTo>
                                  <a:pt x="8700" y="5852"/>
                                </a:moveTo>
                                <a:lnTo>
                                  <a:pt x="0" y="5852"/>
                                </a:lnTo>
                                <a:lnTo>
                                  <a:pt x="0" y="0"/>
                                </a:lnTo>
                                <a:lnTo>
                                  <a:pt x="8700" y="0"/>
                                </a:lnTo>
                                <a:lnTo>
                                  <a:pt x="8700" y="22"/>
                                </a:lnTo>
                                <a:lnTo>
                                  <a:pt x="44" y="22"/>
                                </a:lnTo>
                                <a:lnTo>
                                  <a:pt x="22" y="43"/>
                                </a:lnTo>
                                <a:lnTo>
                                  <a:pt x="44" y="43"/>
                                </a:lnTo>
                                <a:lnTo>
                                  <a:pt x="44" y="5809"/>
                                </a:lnTo>
                                <a:lnTo>
                                  <a:pt x="22" y="5809"/>
                                </a:lnTo>
                                <a:lnTo>
                                  <a:pt x="44" y="5831"/>
                                </a:lnTo>
                                <a:lnTo>
                                  <a:pt x="8700" y="5831"/>
                                </a:lnTo>
                                <a:lnTo>
                                  <a:pt x="8700" y="5852"/>
                                </a:lnTo>
                                <a:close/>
                                <a:moveTo>
                                  <a:pt x="44" y="43"/>
                                </a:moveTo>
                                <a:lnTo>
                                  <a:pt x="22" y="43"/>
                                </a:lnTo>
                                <a:lnTo>
                                  <a:pt x="44" y="22"/>
                                </a:lnTo>
                                <a:lnTo>
                                  <a:pt x="44" y="43"/>
                                </a:lnTo>
                                <a:close/>
                                <a:moveTo>
                                  <a:pt x="8656" y="43"/>
                                </a:moveTo>
                                <a:lnTo>
                                  <a:pt x="44" y="43"/>
                                </a:lnTo>
                                <a:lnTo>
                                  <a:pt x="44" y="22"/>
                                </a:lnTo>
                                <a:lnTo>
                                  <a:pt x="8656" y="22"/>
                                </a:lnTo>
                                <a:lnTo>
                                  <a:pt x="8656" y="43"/>
                                </a:lnTo>
                                <a:close/>
                                <a:moveTo>
                                  <a:pt x="8656" y="5831"/>
                                </a:moveTo>
                                <a:lnTo>
                                  <a:pt x="8656" y="22"/>
                                </a:lnTo>
                                <a:lnTo>
                                  <a:pt x="8678" y="43"/>
                                </a:lnTo>
                                <a:lnTo>
                                  <a:pt x="8700" y="43"/>
                                </a:lnTo>
                                <a:lnTo>
                                  <a:pt x="8700" y="5809"/>
                                </a:lnTo>
                                <a:lnTo>
                                  <a:pt x="8678" y="5809"/>
                                </a:lnTo>
                                <a:lnTo>
                                  <a:pt x="8656" y="5831"/>
                                </a:lnTo>
                                <a:close/>
                                <a:moveTo>
                                  <a:pt x="8700" y="43"/>
                                </a:moveTo>
                                <a:lnTo>
                                  <a:pt x="8678" y="43"/>
                                </a:lnTo>
                                <a:lnTo>
                                  <a:pt x="8656" y="22"/>
                                </a:lnTo>
                                <a:lnTo>
                                  <a:pt x="8700" y="22"/>
                                </a:lnTo>
                                <a:lnTo>
                                  <a:pt x="8700" y="43"/>
                                </a:lnTo>
                                <a:close/>
                                <a:moveTo>
                                  <a:pt x="44" y="5831"/>
                                </a:moveTo>
                                <a:lnTo>
                                  <a:pt x="22" y="5809"/>
                                </a:lnTo>
                                <a:lnTo>
                                  <a:pt x="44" y="5809"/>
                                </a:lnTo>
                                <a:lnTo>
                                  <a:pt x="44" y="5831"/>
                                </a:lnTo>
                                <a:close/>
                                <a:moveTo>
                                  <a:pt x="8656" y="5831"/>
                                </a:moveTo>
                                <a:lnTo>
                                  <a:pt x="44" y="5831"/>
                                </a:lnTo>
                                <a:lnTo>
                                  <a:pt x="44" y="5809"/>
                                </a:lnTo>
                                <a:lnTo>
                                  <a:pt x="8656" y="5809"/>
                                </a:lnTo>
                                <a:lnTo>
                                  <a:pt x="8656" y="5831"/>
                                </a:lnTo>
                                <a:close/>
                                <a:moveTo>
                                  <a:pt x="8700" y="5831"/>
                                </a:moveTo>
                                <a:lnTo>
                                  <a:pt x="8656" y="5831"/>
                                </a:lnTo>
                                <a:lnTo>
                                  <a:pt x="8678" y="5809"/>
                                </a:lnTo>
                                <a:lnTo>
                                  <a:pt x="8700" y="5809"/>
                                </a:lnTo>
                                <a:lnTo>
                                  <a:pt x="8700" y="5831"/>
                                </a:lnTo>
                                <a:close/>
                              </a:path>
                            </a:pathLst>
                          </a:custGeom>
                          <a:solidFill>
                            <a:srgbClr val="000000"/>
                          </a:solidFill>
                          <a:ln>
                            <a:noFill/>
                          </a:ln>
                        </wps:spPr>
                        <wps:bodyPr upright="1"/>
                      </wps:wsp>
                      <wps:wsp>
                        <wps:cNvPr id="28" name="直线 33"/>
                        <wps:cNvCnPr/>
                        <wps:spPr>
                          <a:xfrm>
                            <a:off x="4639" y="3982"/>
                            <a:ext cx="3132" cy="0"/>
                          </a:xfrm>
                          <a:prstGeom prst="line">
                            <a:avLst/>
                          </a:prstGeom>
                          <a:ln w="7620" cap="flat" cmpd="sng">
                            <a:solidFill>
                              <a:srgbClr val="000000"/>
                            </a:solidFill>
                            <a:prstDash val="solid"/>
                            <a:headEnd type="none" w="med" len="med"/>
                            <a:tailEnd type="none" w="med" len="med"/>
                          </a:ln>
                        </wps:spPr>
                        <wps:bodyPr upright="1"/>
                      </wps:wsp>
                      <wps:wsp>
                        <wps:cNvPr id="29" name="直线 34"/>
                        <wps:cNvCnPr/>
                        <wps:spPr>
                          <a:xfrm>
                            <a:off x="4360" y="4453"/>
                            <a:ext cx="2674" cy="0"/>
                          </a:xfrm>
                          <a:prstGeom prst="line">
                            <a:avLst/>
                          </a:prstGeom>
                          <a:ln w="7620" cap="flat" cmpd="sng">
                            <a:solidFill>
                              <a:srgbClr val="000000"/>
                            </a:solidFill>
                            <a:prstDash val="solid"/>
                            <a:headEnd type="none" w="med" len="med"/>
                            <a:tailEnd type="none" w="med" len="med"/>
                          </a:ln>
                        </wps:spPr>
                        <wps:bodyPr upright="1"/>
                      </wps:wsp>
                      <wps:wsp>
                        <wps:cNvPr id="30" name="直线 35"/>
                        <wps:cNvCnPr/>
                        <wps:spPr>
                          <a:xfrm>
                            <a:off x="6084" y="4926"/>
                            <a:ext cx="715" cy="0"/>
                          </a:xfrm>
                          <a:prstGeom prst="line">
                            <a:avLst/>
                          </a:prstGeom>
                          <a:ln w="7620" cap="flat" cmpd="sng">
                            <a:solidFill>
                              <a:srgbClr val="000000"/>
                            </a:solidFill>
                            <a:prstDash val="solid"/>
                            <a:headEnd type="none" w="med" len="med"/>
                            <a:tailEnd type="none" w="med" len="med"/>
                          </a:ln>
                        </wps:spPr>
                        <wps:bodyPr upright="1"/>
                      </wps:wsp>
                      <wps:wsp>
                        <wps:cNvPr id="31" name="文本框 36"/>
                        <wps:cNvSpPr txBox="1"/>
                        <wps:spPr>
                          <a:xfrm>
                            <a:off x="2775" y="901"/>
                            <a:ext cx="6145" cy="1257"/>
                          </a:xfrm>
                          <a:prstGeom prst="rect">
                            <a:avLst/>
                          </a:prstGeom>
                          <a:noFill/>
                          <a:ln>
                            <a:noFill/>
                          </a:ln>
                        </wps:spPr>
                        <wps:txbx>
                          <w:txbxContent>
                            <w:p>
                              <w:pPr>
                                <w:spacing w:before="0" w:line="240" w:lineRule="exact"/>
                                <w:ind w:left="0" w:right="0" w:firstLine="0"/>
                                <w:jc w:val="left"/>
                                <w:rPr>
                                  <w:rFonts w:hint="eastAsia"/>
                                  <w:b/>
                                  <w:sz w:val="24"/>
                                  <w:lang w:eastAsia="zh-CN"/>
                                </w:rPr>
                              </w:pPr>
                            </w:p>
                            <w:p>
                              <w:pPr>
                                <w:jc w:val="center"/>
                                <w:rPr>
                                  <w:rFonts w:hint="eastAsia"/>
                                  <w:b/>
                                  <w:bCs/>
                                  <w:lang w:eastAsia="zh-CN"/>
                                </w:rPr>
                              </w:pPr>
                              <w:r>
                                <w:rPr>
                                  <w:rFonts w:hint="eastAsia"/>
                                  <w:b/>
                                  <w:bCs/>
                                  <w:lang w:eastAsia="zh-CN"/>
                                </w:rPr>
                                <w:t>云安区生猪产业园—优质生猪标准化规模养殖基地项目</w:t>
                              </w:r>
                            </w:p>
                            <w:p>
                              <w:pPr>
                                <w:pStyle w:val="4"/>
                                <w:jc w:val="center"/>
                                <w:rPr>
                                  <w:rFonts w:hint="eastAsia" w:ascii="宋体" w:hAnsi="宋体" w:eastAsia="宋体" w:cs="宋体"/>
                                  <w:b/>
                                  <w:bCs/>
                                  <w:sz w:val="22"/>
                                  <w:szCs w:val="22"/>
                                  <w:lang w:val="zh-CN" w:eastAsia="zh-CN" w:bidi="zh-CN"/>
                                </w:rPr>
                              </w:pPr>
                              <w:r>
                                <w:rPr>
                                  <w:rFonts w:hint="eastAsia" w:ascii="宋体" w:hAnsi="宋体" w:eastAsia="宋体" w:cs="宋体"/>
                                  <w:b/>
                                  <w:bCs/>
                                  <w:sz w:val="22"/>
                                  <w:szCs w:val="22"/>
                                  <w:lang w:val="en-US" w:eastAsia="zh-CN" w:bidi="zh-CN"/>
                                </w:rPr>
                                <w:t>GDXJ2022GGK3037</w:t>
                              </w:r>
                            </w:p>
                          </w:txbxContent>
                        </wps:txbx>
                        <wps:bodyPr lIns="0" tIns="0" rIns="0" bIns="0" upright="1"/>
                      </wps:wsp>
                      <wps:wsp>
                        <wps:cNvPr id="32" name="文本框 37"/>
                        <wps:cNvSpPr txBox="1"/>
                        <wps:spPr>
                          <a:xfrm>
                            <a:off x="4221" y="2082"/>
                            <a:ext cx="3035" cy="439"/>
                          </a:xfrm>
                          <a:prstGeom prst="rect">
                            <a:avLst/>
                          </a:prstGeom>
                          <a:noFill/>
                          <a:ln>
                            <a:noFill/>
                          </a:ln>
                        </wps:spPr>
                        <wps:txbx>
                          <w:txbxContent>
                            <w:p>
                              <w:pPr>
                                <w:spacing w:before="0" w:line="439" w:lineRule="exact"/>
                                <w:ind w:left="0" w:right="0" w:firstLine="0"/>
                                <w:jc w:val="left"/>
                                <w:rPr>
                                  <w:b/>
                                  <w:sz w:val="44"/>
                                </w:rPr>
                              </w:pPr>
                              <w:r>
                                <w:rPr>
                                  <w:b/>
                                  <w:sz w:val="44"/>
                                </w:rPr>
                                <w:t>施工投标文件</w:t>
                              </w:r>
                            </w:p>
                          </w:txbxContent>
                        </wps:txbx>
                        <wps:bodyPr lIns="0" tIns="0" rIns="0" bIns="0" upright="1"/>
                      </wps:wsp>
                      <wps:wsp>
                        <wps:cNvPr id="33" name="文本框 38"/>
                        <wps:cNvSpPr txBox="1"/>
                        <wps:spPr>
                          <a:xfrm>
                            <a:off x="3036" y="3721"/>
                            <a:ext cx="5224" cy="270"/>
                          </a:xfrm>
                          <a:prstGeom prst="rect">
                            <a:avLst/>
                          </a:prstGeom>
                          <a:noFill/>
                          <a:ln>
                            <a:noFill/>
                          </a:ln>
                        </wps:spPr>
                        <wps:txbx>
                          <w:txbxContent>
                            <w:p>
                              <w:pPr>
                                <w:jc w:val="left"/>
                                <w:rPr>
                                  <w:b/>
                                  <w:bCs/>
                                </w:rPr>
                              </w:pPr>
                              <w:r>
                                <w:rPr>
                                  <w:b/>
                                  <w:bCs/>
                                </w:rPr>
                                <w:t>投标文件内容：电子投标文件部分（</w:t>
                              </w:r>
                              <w:r>
                                <w:rPr>
                                  <w:rFonts w:hint="eastAsia"/>
                                  <w:b/>
                                  <w:bCs/>
                                  <w:lang w:val="en-US" w:eastAsia="zh-CN"/>
                                </w:rPr>
                                <w:t>U</w:t>
                              </w:r>
                              <w:r>
                                <w:rPr>
                                  <w:b/>
                                  <w:bCs/>
                                </w:rPr>
                                <w:t>盘）</w:t>
                              </w:r>
                            </w:p>
                          </w:txbxContent>
                        </wps:txbx>
                        <wps:bodyPr lIns="0" tIns="0" rIns="0" bIns="0" upright="1"/>
                      </wps:wsp>
                      <wps:wsp>
                        <wps:cNvPr id="34" name="文本框 39"/>
                        <wps:cNvSpPr txBox="1"/>
                        <wps:spPr>
                          <a:xfrm>
                            <a:off x="2952" y="4221"/>
                            <a:ext cx="1697" cy="212"/>
                          </a:xfrm>
                          <a:prstGeom prst="rect">
                            <a:avLst/>
                          </a:prstGeom>
                          <a:noFill/>
                          <a:ln>
                            <a:noFill/>
                          </a:ln>
                        </wps:spPr>
                        <wps:txbx>
                          <w:txbxContent>
                            <w:p>
                              <w:pPr>
                                <w:tabs>
                                  <w:tab w:val="left" w:pos="563"/>
                                </w:tabs>
                                <w:spacing w:before="0" w:line="240" w:lineRule="exact"/>
                                <w:ind w:left="0" w:right="0" w:firstLine="0"/>
                                <w:jc w:val="left"/>
                                <w:rPr>
                                  <w:b/>
                                  <w:sz w:val="24"/>
                                </w:rPr>
                              </w:pPr>
                              <w:r>
                                <w:rPr>
                                  <w:b/>
                                  <w:sz w:val="24"/>
                                </w:rPr>
                                <w:t>投</w:t>
                              </w:r>
                              <w:r>
                                <w:rPr>
                                  <w:b/>
                                  <w:sz w:val="24"/>
                                </w:rPr>
                                <w:tab/>
                              </w:r>
                              <w:r>
                                <w:rPr>
                                  <w:b/>
                                  <w:sz w:val="24"/>
                                </w:rPr>
                                <w:t>标</w:t>
                              </w:r>
                              <w:r>
                                <w:rPr>
                                  <w:b/>
                                  <w:spacing w:val="-2"/>
                                  <w:sz w:val="24"/>
                                </w:rPr>
                                <w:t xml:space="preserve"> </w:t>
                              </w:r>
                              <w:r>
                                <w:rPr>
                                  <w:b/>
                                  <w:sz w:val="24"/>
                                </w:rPr>
                                <w:t>人：</w:t>
                              </w:r>
                            </w:p>
                          </w:txbxContent>
                        </wps:txbx>
                        <wps:bodyPr lIns="0" tIns="0" rIns="0" bIns="0" upright="1"/>
                      </wps:wsp>
                      <wps:wsp>
                        <wps:cNvPr id="35" name="文本框 40"/>
                        <wps:cNvSpPr txBox="1"/>
                        <wps:spPr>
                          <a:xfrm>
                            <a:off x="7034" y="4221"/>
                            <a:ext cx="1602" cy="278"/>
                          </a:xfrm>
                          <a:prstGeom prst="rect">
                            <a:avLst/>
                          </a:prstGeom>
                          <a:noFill/>
                          <a:ln>
                            <a:noFill/>
                          </a:ln>
                        </wps:spPr>
                        <wps:txbx>
                          <w:txbxContent>
                            <w:p>
                              <w:pPr>
                                <w:spacing w:before="0" w:line="240" w:lineRule="exact"/>
                                <w:ind w:left="0" w:right="0" w:firstLine="0"/>
                                <w:jc w:val="left"/>
                                <w:rPr>
                                  <w:b/>
                                  <w:sz w:val="24"/>
                                </w:rPr>
                              </w:pPr>
                              <w:r>
                                <w:rPr>
                                  <w:b/>
                                  <w:sz w:val="24"/>
                                </w:rPr>
                                <w:t>（盖公章）</w:t>
                              </w:r>
                            </w:p>
                          </w:txbxContent>
                        </wps:txbx>
                        <wps:bodyPr lIns="0" tIns="0" rIns="0" bIns="0" upright="1"/>
                      </wps:wsp>
                      <wps:wsp>
                        <wps:cNvPr id="36" name="文本框 41"/>
                        <wps:cNvSpPr txBox="1"/>
                        <wps:spPr>
                          <a:xfrm>
                            <a:off x="2952" y="4691"/>
                            <a:ext cx="3152" cy="240"/>
                          </a:xfrm>
                          <a:prstGeom prst="rect">
                            <a:avLst/>
                          </a:prstGeom>
                          <a:noFill/>
                          <a:ln>
                            <a:noFill/>
                          </a:ln>
                        </wps:spPr>
                        <wps:txbx>
                          <w:txbxContent>
                            <w:p>
                              <w:pPr>
                                <w:spacing w:before="0" w:line="240" w:lineRule="exact"/>
                                <w:ind w:left="0" w:right="0" w:firstLine="0"/>
                                <w:jc w:val="left"/>
                                <w:rPr>
                                  <w:b/>
                                  <w:sz w:val="24"/>
                                </w:rPr>
                              </w:pPr>
                              <w:r>
                                <w:rPr>
                                  <w:b/>
                                  <w:sz w:val="24"/>
                                </w:rPr>
                                <w:t>法定代表人或其委托代理人：</w:t>
                              </w:r>
                            </w:p>
                          </w:txbxContent>
                        </wps:txbx>
                        <wps:bodyPr lIns="0" tIns="0" rIns="0" bIns="0" upright="1"/>
                      </wps:wsp>
                      <wps:wsp>
                        <wps:cNvPr id="37" name="文本框 42"/>
                        <wps:cNvSpPr txBox="1"/>
                        <wps:spPr>
                          <a:xfrm>
                            <a:off x="6799" y="4691"/>
                            <a:ext cx="1965" cy="240"/>
                          </a:xfrm>
                          <a:prstGeom prst="rect">
                            <a:avLst/>
                          </a:prstGeom>
                          <a:noFill/>
                          <a:ln>
                            <a:noFill/>
                          </a:ln>
                        </wps:spPr>
                        <wps:txbx>
                          <w:txbxContent>
                            <w:p>
                              <w:pPr>
                                <w:spacing w:before="0" w:line="240" w:lineRule="exact"/>
                                <w:ind w:left="0" w:right="0" w:firstLine="0"/>
                                <w:jc w:val="left"/>
                                <w:rPr>
                                  <w:b/>
                                  <w:sz w:val="24"/>
                                </w:rPr>
                              </w:pPr>
                              <w:r>
                                <w:rPr>
                                  <w:b/>
                                  <w:sz w:val="24"/>
                                </w:rPr>
                                <w:t>（签字或盖章）</w:t>
                              </w:r>
                            </w:p>
                          </w:txbxContent>
                        </wps:txbx>
                        <wps:bodyPr lIns="0" tIns="0" rIns="0" bIns="0" upright="1"/>
                      </wps:wsp>
                    </wpg:wgp>
                  </a:graphicData>
                </a:graphic>
              </wp:anchor>
            </w:drawing>
          </mc:Choice>
          <mc:Fallback>
            <w:pict>
              <v:group id="组合 31" o:spid="_x0000_s1026" o:spt="203" style="position:absolute;left:0pt;margin-left:89.9pt;margin-top:4.4pt;height:283.35pt;width:421.2pt;mso-position-horizontal-relative:page;mso-wrap-distance-bottom:0pt;mso-wrap-distance-top:0pt;z-index:-251646976;mso-width-relative:page;mso-height-relative:page;" coordorigin="1522,371" coordsize="8700,5853" o:gfxdata="UEsDBAoAAAAAAIdO4kAAAAAAAAAAAAAAAAAEAAAAZHJzL1BLAwQUAAAACACHTuJALRXXkNkAAAAL&#10;AQAADwAAAGRycy9kb3ducmV2LnhtbE2PTUvDQBCG74L/YRnBm92P2ioxmyJFPRXBVhBv0+w0Cc3u&#10;huw2af+9m5M9vjMP7zyTr862ZQP1ofFOg5wJYORKbxpXafjevT88AwsRncHWO9JwoQCr4vYmx8z4&#10;0X3RsI0VSyUuZKihjrHLOA9lTRbDzHfk0u7ge4sxxb7ipscxlduWKyGW3GLj0oUaO1rXVB63J6vh&#10;Y8TxdS7fhs3xsL787hafPxtJWt/fSfECLNI5/sMw6Sd1KJLT3p+cCaxNeaFUQjXMnySwCRBqmuw1&#10;LJV6BF7k/PqH4g9QSwMEFAAAAAgAh07iQOzj48iTBQAA/h0AAA4AAABkcnMvZTJvRG9jLnhtbO1Z&#10;zW7kRBC+I/EOlu9k/O+ZUSYrsdldISFYaZcH6NiesSXbbXU7mcl9BdzYEwfgAuLIkQtEwMuQLI9B&#10;Vf/YM+M4doIQEZoc4h53ubqqvvrr7uMnmyI3LhLGM1ouTPvIMo2kjGiclauF+dnr5x9MTYPXpIxJ&#10;TstkYV4m3Hxy8v57x+tqnjg0pXmcMAOYlHy+rhZmWtfVfDLhUZoUhB/RKilhcklZQWr4yVaTmJE1&#10;cC/yiWNZwWRNWVwxGiWcw9tTOWkqjmwMQ7pcZlFySqPzIilryZUlOalBJZ5mFTdPhLTLZRLVny6X&#10;PKmNfGGCprX4D4vA+Az/T06OyXzFSJVmkRKBjBFhT6eCZCUs2rA6JTUxzlnWYVVkEaOcLuujiBYT&#10;qYiwCGhhW3u2ecHoeSV0Wc3Xq6oxOgC1Z/UHs40+uXjJjCxemC7gXpICEH939eb67ZeGa6N11tVq&#10;DkQvWPWqesnUi5X8hQpvlqzAJ6hibIRdLxu7JpvaiOCl7zueb4HJI5hzQzsIfF9aPkoBHvzO9h3H&#10;NOS0nnqmPp+G+lt/6rs4O9HrTlC8Rpp1BS7JWzvxf2anVympEmF+jiZQdnJCbac/r65u3nx1/eM3&#10;f/3+y/VvPxiug7KhEEDdWIvPORjuFlN1Vdb2ukNhMo/Oef0iocLo5OJjXsOa4HexHpFUj6JNqYcV&#10;qfE1UuLQWC9MuUgK6KBRcaagF8lrKmhqxERSACZAIVQDs7c0eblNC+DuEupp/awES0kmwg6Y6Tn9&#10;lDTNsiPJwHGkS2g2+inZeZ4QbYBKeZ+n3Uvz0M8dXuOo/Kk1u1MyteYgndLAn8qIHDbcfSgbZLWm&#10;UU55Inyqxfp27dt5/a2ku5ctB3BRuncs3i/lNPADgXjzTZ+cfbx3tRnnP82qA/o0dI10erURGm3h&#10;2qdTw39QjhDyPYRsRw4tj8SyCcaxdIPePA3UyiMoFZJbemvp7rCWqBbbmvXbaqQNtEcN2VSvPJau&#10;Y9N+rbo5oE8rWFym4oHs03AcS9fJPv3SNl64hVyfvI0cHf4a653scx+vGdDsNin1mnfoplEeodtd&#10;K+iVVJyNj4p2/SH9WsqObbV+UEywIRAtVdMkwMvtLoPTPIufZ3mOrQFnq7OnOTMuCHbU4k8VuR2y&#10;vETikuJnujrDItgcyXYIR2c0voSu6rxi2SqF1lw0nIIGujjZSf377Vzb9n7787tf/zBc0QKoLu5p&#10;qXpeLbZuPJuG1wvcmQg4dzYVjQiZ6zbOtaEjFD2v7mR0s1wx2cMZOFiYeVZin0nmup9DVBQJvs5L&#10;bNjCwMEWmsCeawl7HRgWFfTtvFyJb3fMPxIlXOSU8FSiKTggmGSeJiR+VsZGfVnBhqCEjaCJIhRJ&#10;bBp5AvtGHAnKmmT5GErRtTxODwD81MZHeYCHqo33ADeQba3nyd1J6wFOEEL3ibuegwfgpg2zwiPM&#10;AS7gt+sBYns62gMCayo3Gd7MCWRY6BwQ2v7BAVSyeMQOYGsHuPn6i5vvfrr5/nPDFUgqH8DdvFFv&#10;PqR4VKGzQ8++3glDwBxifmYJ0jYdBLanvMF2/BDZgEl6agKDo6u7akJTWmVUDdbaenO2UVlNld38&#10;oxIOSMD1az1genCmB/9pacbqKcNyCxVhtgeg4jkOgAyoONZ+nXaCAM50MEt7UMsPqOij2dvPv6A/&#10;6qIy1TGhTr7GxoprQZghKm4I8IDp22CBA0FVO51woHoeYsV0wVadWBHO/IBYcWZwKoSoiKDZQcX2&#10;8PwTY8XxDqi01xg9sQLpfh8VabYHoBJaCPLtqDiOKiwHVLYvl3pQgZTTQaWp6vfMYG2sBLO9DObC&#10;Cf8hVrrXWj2oNPcqbbX39m9UxtaVIJzJXbnXQcUOrf9HrIi7L7gWFF2kusLEe8ft32K71V7bn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LRXXkNkAAAALAQAADwAAAAAAAAABACAAAAAiAAAAZHJz&#10;L2Rvd25yZXYueG1sUEsBAhQAFAAAAAgAh07iQOzj48iTBQAA/h0AAA4AAAAAAAAAAQAgAAAAKAEA&#10;AGRycy9lMm9Eb2MueG1sUEsFBgAAAAAGAAYAWQEAAC0JAAAAAA==&#10;">
                <o:lock v:ext="edit" aspectratio="f"/>
                <v:shape id="任意多边形 32" o:spid="_x0000_s1026" o:spt="100" style="position:absolute;left:1522;top:371;height:5853;width:8700;" fillcolor="#000000" filled="t" stroked="f" coordsize="8700,5853" o:gfxdata="UEsDBAoAAAAAAIdO4kAAAAAAAAAAAAAAAAAEAAAAZHJzL1BLAwQUAAAACACHTuJA8UeIC7sAAADb&#10;AAAADwAAAGRycy9kb3ducmV2LnhtbEWPzYvCMBTE78L+D+Et7EU0tQc/ukbZFQTBU/24P5pnU7Z5&#10;KUlW7X9vBMHjMDO/YZbru23FlXxoHCuYjDMQxJXTDdcKTsftaA4iRGSNrWNS0FOA9epjsMRCuxuX&#10;dD3EWiQIhwIVmBi7QspQGbIYxq4jTt7FeYsxSV9L7fGW4LaVeZZNpcWG04LBjjaGqr/Dv1Wgy6EP&#10;bu8X5rfszz953+C22ij19TnJvkFEusd3+NXeaQX5DJ5f0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eIC7sAAADb&#10;AAAADwAAAAAAAAABACAAAAAiAAAAZHJzL2Rvd25yZXYueG1sUEsBAhQAFAAAAAgAh07iQDMvBZ47&#10;AAAAOQAAABAAAAAAAAAAAQAgAAAACgEAAGRycy9zaGFwZXhtbC54bWxQSwUGAAAAAAYABgBbAQAA&#10;tAMAAAAA&#10;" path="m8700,5852l0,5852,0,0,8700,0,8700,22,44,22,22,43,44,43,44,5809,22,5809,44,5831,8700,5831,8700,5852xm44,43l22,43,44,22,44,43xm8656,43l44,43,44,22,8656,22,8656,43xm8656,5831l8656,22,8678,43,8700,43,8700,5809,8678,5809,8656,5831xm8700,43l8678,43,8656,22,8700,22,8700,43xm44,5831l22,5809,44,5809,44,5831xm8656,5831l44,5831,44,5809,8656,5809,8656,5831xm8700,5831l8656,5831,8678,5809,8700,5809,8700,5831xe">
                  <v:fill on="t" focussize="0,0"/>
                  <v:stroke on="f"/>
                  <v:imagedata o:title=""/>
                  <o:lock v:ext="edit" aspectratio="f"/>
                </v:shape>
                <v:line id="直线 33" o:spid="_x0000_s1026" o:spt="20" style="position:absolute;left:4639;top:3982;height:0;width:3132;" filled="f" stroked="t" coordsize="21600,21600" o:gfxdata="UEsDBAoAAAAAAIdO4kAAAAAAAAAAAAAAAAAEAAAAZHJzL1BLAwQUAAAACACHTuJAma54ALkAAADb&#10;AAAADwAAAGRycy9kb3ducmV2LnhtbEVPy4rCMBTdC/5DuII7Te1CpWMUfIGbGZkqs74016bY3JQm&#10;tjpfP1kIszyc92rztLXoqPWVYwWzaQKCuHC64lLB9XKcLEH4gKyxdkwKXuRhsx4OVphp1/M3dXko&#10;RQxhn6ECE0KTSekLQxb91DXEkbu51mKIsC2lbrGP4baWaZLMpcWKY4PBhnaGinv+sAp+573Zy8PX&#10;4mx+5HZ5/rx0Ke2VGo9myQeIQM/wL367T1pBGsfGL/EHyP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ueAC5AAAA2wAA&#10;AA8AAAAAAAAAAQAgAAAAIgAAAGRycy9kb3ducmV2LnhtbFBLAQIUABQAAAAIAIdO4kAzLwWeOwAA&#10;ADkAAAAQAAAAAAAAAAEAIAAAAAgBAABkcnMvc2hhcGV4bWwueG1sUEsFBgAAAAAGAAYAWwEAALID&#10;AAAAAA==&#10;">
                  <v:fill on="f" focussize="0,0"/>
                  <v:stroke weight="0.6pt" color="#000000" joinstyle="round"/>
                  <v:imagedata o:title=""/>
                  <o:lock v:ext="edit" aspectratio="f"/>
                </v:line>
                <v:line id="直线 34" o:spid="_x0000_s1026" o:spt="20" style="position:absolute;left:4360;top:4453;height:0;width:2674;" filled="f" stroked="t" coordsize="21600,21600" o:gfxdata="UEsDBAoAAAAAAIdO4kAAAAAAAAAAAAAAAAAEAAAAZHJzL1BLAwQUAAAACACHTuJA9uLdm74AAADb&#10;AAAADwAAAGRycy9kb3ducmV2LnhtbEWPT2vCQBTE7wW/w/IEb3WTHKymrgG1gpcq/qHnR/Y1G5p9&#10;G7LbRPvpu0Khx2FmfsMsi5ttRE+drx0rSKcJCOLS6ZorBdfL7nkOwgdkjY1jUnAnD8Vq9LTEXLuB&#10;T9SfQyUihH2OCkwIbS6lLw1Z9FPXEkfv03UWQ5RdJXWHQ4TbRmZJMpMWa44LBlvaGCq/zt9Wwc9s&#10;MFv5dng5mg+5nh/fL31GW6Um4zR5BRHoFv7Df+29VpAt4P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Ldm74A&#10;AADbAAAADwAAAAAAAAABACAAAAAiAAAAZHJzL2Rvd25yZXYueG1sUEsBAhQAFAAAAAgAh07iQDMv&#10;BZ47AAAAOQAAABAAAAAAAAAAAQAgAAAADQEAAGRycy9zaGFwZXhtbC54bWxQSwUGAAAAAAYABgBb&#10;AQAAtwMAAAAA&#10;">
                  <v:fill on="f" focussize="0,0"/>
                  <v:stroke weight="0.6pt" color="#000000" joinstyle="round"/>
                  <v:imagedata o:title=""/>
                  <o:lock v:ext="edit" aspectratio="f"/>
                </v:line>
                <v:line id="直线 35" o:spid="_x0000_s1026" o:spt="20" style="position:absolute;left:6084;top:4926;height:0;width:715;" filled="f" stroked="t" coordsize="21600,21600" o:gfxdata="UEsDBAoAAAAAAIdO4kAAAAAAAAAAAAAAAAAEAAAAZHJzL1BLAwQUAAAACACHTuJA4gHi27sAAADb&#10;AAAADwAAAGRycy9kb3ducmV2LnhtbEVPz2vCMBS+C/4P4Qm7aaqDWjqjoG6wyyxrx86P5q0pa15K&#10;k7Vuf/1yEDx+fL93h6vtxEiDbx0rWK8SEMS10y03Cj6ql2UGwgdkjZ1jUvBLHg77+WyHuXYTv9NY&#10;hkbEEPY5KjAh9LmUvjZk0a9cTxy5LzdYDBEOjdQDTjHcdnKTJKm02HJsMNjTyVD9Xf5YBX/pZM7y&#10;+bItzKc8ZsVbNW7orNTDYp08gQh0DXfxzf2qFTzG9fFL/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Hi27sAAADb&#10;AAAADwAAAAAAAAABACAAAAAiAAAAZHJzL2Rvd25yZXYueG1sUEsBAhQAFAAAAAgAh07iQDMvBZ47&#10;AAAAOQAAABAAAAAAAAAAAQAgAAAACgEAAGRycy9zaGFwZXhtbC54bWxQSwUGAAAAAAYABgBbAQAA&#10;tAMAAAAA&#10;">
                  <v:fill on="f" focussize="0,0"/>
                  <v:stroke weight="0.6pt" color="#000000" joinstyle="round"/>
                  <v:imagedata o:title=""/>
                  <o:lock v:ext="edit" aspectratio="f"/>
                </v:line>
                <v:shape id="文本框 36" o:spid="_x0000_s1026" o:spt="202" type="#_x0000_t202" style="position:absolute;left:2775;top:901;height:1257;width:614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hint="eastAsia"/>
                            <w:b/>
                            <w:sz w:val="24"/>
                            <w:lang w:eastAsia="zh-CN"/>
                          </w:rPr>
                        </w:pPr>
                      </w:p>
                      <w:p>
                        <w:pPr>
                          <w:jc w:val="center"/>
                          <w:rPr>
                            <w:rFonts w:hint="eastAsia"/>
                            <w:b/>
                            <w:bCs/>
                            <w:lang w:eastAsia="zh-CN"/>
                          </w:rPr>
                        </w:pPr>
                        <w:r>
                          <w:rPr>
                            <w:rFonts w:hint="eastAsia"/>
                            <w:b/>
                            <w:bCs/>
                            <w:lang w:eastAsia="zh-CN"/>
                          </w:rPr>
                          <w:t>云安区生猪产业园—优质生猪标准化规模养殖基地项目</w:t>
                        </w:r>
                      </w:p>
                      <w:p>
                        <w:pPr>
                          <w:pStyle w:val="4"/>
                          <w:jc w:val="center"/>
                          <w:rPr>
                            <w:rFonts w:hint="eastAsia" w:ascii="宋体" w:hAnsi="宋体" w:eastAsia="宋体" w:cs="宋体"/>
                            <w:b/>
                            <w:bCs/>
                            <w:sz w:val="22"/>
                            <w:szCs w:val="22"/>
                            <w:lang w:val="zh-CN" w:eastAsia="zh-CN" w:bidi="zh-CN"/>
                          </w:rPr>
                        </w:pPr>
                        <w:r>
                          <w:rPr>
                            <w:rFonts w:hint="eastAsia" w:ascii="宋体" w:hAnsi="宋体" w:eastAsia="宋体" w:cs="宋体"/>
                            <w:b/>
                            <w:bCs/>
                            <w:sz w:val="22"/>
                            <w:szCs w:val="22"/>
                            <w:lang w:val="en-US" w:eastAsia="zh-CN" w:bidi="zh-CN"/>
                          </w:rPr>
                          <w:t>GDXJ2022GGK3037</w:t>
                        </w:r>
                      </w:p>
                    </w:txbxContent>
                  </v:textbox>
                </v:shape>
                <v:shape id="文本框 37" o:spid="_x0000_s1026" o:spt="202" type="#_x0000_t202" style="position:absolute;left:4221;top:2082;height:439;width:303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439" w:lineRule="exact"/>
                          <w:ind w:left="0" w:right="0" w:firstLine="0"/>
                          <w:jc w:val="left"/>
                          <w:rPr>
                            <w:b/>
                            <w:sz w:val="44"/>
                          </w:rPr>
                        </w:pPr>
                        <w:r>
                          <w:rPr>
                            <w:b/>
                            <w:sz w:val="44"/>
                          </w:rPr>
                          <w:t>施工投标文件</w:t>
                        </w:r>
                      </w:p>
                    </w:txbxContent>
                  </v:textbox>
                </v:shape>
                <v:shape id="文本框 38" o:spid="_x0000_s1026" o:spt="202" type="#_x0000_t202" style="position:absolute;left:3036;top:3721;height:270;width:5224;"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jc w:val="left"/>
                          <w:rPr>
                            <w:b/>
                            <w:bCs/>
                          </w:rPr>
                        </w:pPr>
                        <w:r>
                          <w:rPr>
                            <w:b/>
                            <w:bCs/>
                          </w:rPr>
                          <w:t>投标文件内容：电子投标文件部分（</w:t>
                        </w:r>
                        <w:r>
                          <w:rPr>
                            <w:rFonts w:hint="eastAsia"/>
                            <w:b/>
                            <w:bCs/>
                            <w:lang w:val="en-US" w:eastAsia="zh-CN"/>
                          </w:rPr>
                          <w:t>U</w:t>
                        </w:r>
                        <w:r>
                          <w:rPr>
                            <w:b/>
                            <w:bCs/>
                          </w:rPr>
                          <w:t>盘）</w:t>
                        </w:r>
                      </w:p>
                    </w:txbxContent>
                  </v:textbox>
                </v:shape>
                <v:shape id="文本框 39" o:spid="_x0000_s1026" o:spt="202" type="#_x0000_t202" style="position:absolute;left:2952;top:4221;height:212;width:1697;"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abs>
                            <w:tab w:val="left" w:pos="563"/>
                          </w:tabs>
                          <w:spacing w:before="0" w:line="240" w:lineRule="exact"/>
                          <w:ind w:left="0" w:right="0" w:firstLine="0"/>
                          <w:jc w:val="left"/>
                          <w:rPr>
                            <w:b/>
                            <w:sz w:val="24"/>
                          </w:rPr>
                        </w:pPr>
                        <w:r>
                          <w:rPr>
                            <w:b/>
                            <w:sz w:val="24"/>
                          </w:rPr>
                          <w:t>投</w:t>
                        </w:r>
                        <w:r>
                          <w:rPr>
                            <w:b/>
                            <w:sz w:val="24"/>
                          </w:rPr>
                          <w:tab/>
                        </w:r>
                        <w:r>
                          <w:rPr>
                            <w:b/>
                            <w:sz w:val="24"/>
                          </w:rPr>
                          <w:t>标</w:t>
                        </w:r>
                        <w:r>
                          <w:rPr>
                            <w:b/>
                            <w:spacing w:val="-2"/>
                            <w:sz w:val="24"/>
                          </w:rPr>
                          <w:t xml:space="preserve"> </w:t>
                        </w:r>
                        <w:r>
                          <w:rPr>
                            <w:b/>
                            <w:sz w:val="24"/>
                          </w:rPr>
                          <w:t>人：</w:t>
                        </w:r>
                      </w:p>
                    </w:txbxContent>
                  </v:textbox>
                </v:shape>
                <v:shape id="文本框 40" o:spid="_x0000_s1026" o:spt="202" type="#_x0000_t202" style="position:absolute;left:7034;top:4221;height:278;width:1602;"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（盖公章）</w:t>
                        </w:r>
                      </w:p>
                    </w:txbxContent>
                  </v:textbox>
                </v:shape>
                <v:shape id="文本框 41" o:spid="_x0000_s1026" o:spt="202" type="#_x0000_t202" style="position:absolute;left:2952;top:4691;height:240;width:3152;"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法定代表人或其委托代理人：</w:t>
                        </w:r>
                      </w:p>
                    </w:txbxContent>
                  </v:textbox>
                </v:shape>
                <v:shape id="文本框 42" o:spid="_x0000_s1026" o:spt="202" type="#_x0000_t202" style="position:absolute;left:6799;top:4691;height:240;width:196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（签字或盖章）</w:t>
                        </w:r>
                      </w:p>
                    </w:txbxContent>
                  </v:textbox>
                </v:shape>
                <w10:wrap type="topAndBottom"/>
              </v:group>
            </w:pict>
          </mc:Fallback>
        </mc:AlternateContent>
      </w:r>
    </w:p>
    <w:p>
      <w:pPr>
        <w:bidi w:val="0"/>
      </w:pPr>
    </w:p>
    <w:p>
      <w:pPr>
        <w:bidi w:val="0"/>
      </w:pPr>
    </w:p>
    <w:p>
      <w:pPr>
        <w:jc w:val="center"/>
        <w:outlineLvl w:val="1"/>
        <w:rPr>
          <w:rFonts w:hint="eastAsia" w:ascii="宋体" w:hAnsi="宋体" w:eastAsia="宋体" w:cs="宋体"/>
          <w:color w:val="000000"/>
          <w:sz w:val="36"/>
        </w:rPr>
      </w:pPr>
      <w:r>
        <w:rPr>
          <w:rFonts w:hint="eastAsia"/>
          <w:lang w:eastAsia="zh-CN"/>
        </w:rPr>
        <w:tab/>
      </w:r>
      <w:r>
        <w:rPr>
          <w:rFonts w:hint="eastAsia" w:ascii="宋体" w:hAnsi="宋体" w:eastAsia="宋体" w:cs="宋体"/>
          <w:color w:val="000000"/>
          <w:sz w:val="36"/>
        </w:rPr>
        <w:t>投标文件(投标保函或投标保证保险)包装袋封面</w:t>
      </w:r>
    </w:p>
    <w:p>
      <w:pPr>
        <w:pStyle w:val="14"/>
        <w:rPr>
          <w:rFonts w:hint="eastAsia"/>
          <w:color w:val="000000"/>
          <w:sz w:val="20"/>
        </w:rPr>
      </w:pPr>
    </w:p>
    <w:tbl>
      <w:tblPr>
        <w:tblStyle w:val="2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81" w:hRule="atLeast"/>
          <w:jc w:val="center"/>
        </w:trPr>
        <w:tc>
          <w:tcPr>
            <w:tcW w:w="8516" w:type="dxa"/>
            <w:tcBorders>
              <w:tl2br w:val="nil"/>
              <w:tr2bl w:val="nil"/>
            </w:tcBorders>
            <w:noWrap w:val="0"/>
            <w:vAlign w:val="top"/>
          </w:tcPr>
          <w:p>
            <w:pPr>
              <w:ind w:right="1028"/>
              <w:jc w:val="center"/>
              <w:rPr>
                <w:rFonts w:hint="eastAsia"/>
                <w:b/>
                <w:sz w:val="24"/>
                <w:szCs w:val="24"/>
                <w:lang w:val="en-US" w:eastAsia="zh-CN"/>
              </w:rPr>
            </w:pPr>
            <w:r>
              <w:rPr>
                <w:rFonts w:hint="eastAsia"/>
                <w:b/>
                <w:sz w:val="24"/>
                <w:szCs w:val="24"/>
                <w:lang w:val="en-US" w:eastAsia="zh-CN"/>
              </w:rPr>
              <w:t xml:space="preserve"> </w:t>
            </w:r>
          </w:p>
          <w:p>
            <w:pPr>
              <w:ind w:right="1028"/>
              <w:jc w:val="center"/>
              <w:rPr>
                <w:rFonts w:hint="eastAsia"/>
                <w:b/>
                <w:sz w:val="24"/>
                <w:szCs w:val="24"/>
              </w:rPr>
            </w:pPr>
            <w:r>
              <w:rPr>
                <w:rFonts w:hint="eastAsia"/>
                <w:b/>
                <w:sz w:val="24"/>
                <w:szCs w:val="24"/>
                <w:lang w:val="en-US" w:eastAsia="zh-CN"/>
              </w:rPr>
              <w:t xml:space="preserve">           </w:t>
            </w:r>
            <w:r>
              <w:rPr>
                <w:rFonts w:hint="eastAsia"/>
                <w:b/>
                <w:sz w:val="24"/>
                <w:szCs w:val="24"/>
                <w:lang w:eastAsia="zh-CN"/>
              </w:rPr>
              <w:t>云安区生猪产业园—优质生猪标准化规模养殖基地项目</w:t>
            </w:r>
          </w:p>
          <w:p>
            <w:pPr>
              <w:pStyle w:val="14"/>
              <w:spacing w:before="10" w:beforeLines="0"/>
              <w:rPr>
                <w:sz w:val="28"/>
              </w:rPr>
            </w:pPr>
          </w:p>
          <w:p>
            <w:pPr>
              <w:pStyle w:val="14"/>
              <w:spacing w:before="10" w:beforeLines="0"/>
              <w:rPr>
                <w:sz w:val="28"/>
              </w:rPr>
            </w:pPr>
          </w:p>
          <w:p>
            <w:pPr>
              <w:ind w:left="1025" w:right="1028"/>
              <w:jc w:val="center"/>
              <w:rPr>
                <w:b/>
                <w:sz w:val="44"/>
              </w:rPr>
            </w:pPr>
            <w:r>
              <w:rPr>
                <w:rFonts w:hint="eastAsia"/>
                <w:b/>
                <w:sz w:val="44"/>
                <w:lang w:eastAsia="zh-CN"/>
              </w:rPr>
              <w:t>施工</w:t>
            </w:r>
            <w:r>
              <w:rPr>
                <w:b/>
                <w:sz w:val="44"/>
              </w:rPr>
              <w:t>投标文件</w:t>
            </w:r>
          </w:p>
          <w:p>
            <w:pPr>
              <w:pStyle w:val="14"/>
              <w:rPr>
                <w:sz w:val="49"/>
              </w:rPr>
            </w:pPr>
          </w:p>
          <w:p>
            <w:pPr>
              <w:spacing w:before="1"/>
              <w:ind w:left="1384"/>
              <w:rPr>
                <w:rFonts w:hint="eastAsia" w:eastAsia="宋体"/>
                <w:b/>
                <w:sz w:val="28"/>
                <w:lang w:eastAsia="zh-CN"/>
              </w:rPr>
            </w:pPr>
            <w:r>
              <w:rPr>
                <w:b/>
                <w:sz w:val="28"/>
              </w:rPr>
              <w:t>投标文件内容：</w:t>
            </w:r>
            <w:r>
              <w:rPr>
                <w:b/>
                <w:sz w:val="28"/>
                <w:u w:val="single"/>
              </w:rPr>
              <w:t xml:space="preserve"> </w:t>
            </w:r>
            <w:r>
              <w:rPr>
                <w:rFonts w:hint="eastAsia"/>
                <w:b/>
                <w:sz w:val="28"/>
                <w:u w:val="single"/>
                <w:lang w:eastAsia="zh-CN"/>
              </w:rPr>
              <w:t>投标保函或投标保证保险</w:t>
            </w:r>
          </w:p>
          <w:p>
            <w:pPr>
              <w:tabs>
                <w:tab w:val="left" w:pos="1948"/>
                <w:tab w:val="left" w:pos="5477"/>
              </w:tabs>
              <w:spacing w:before="7" w:line="720" w:lineRule="atLeast"/>
              <w:ind w:left="1382" w:right="1682" w:firstLine="2"/>
              <w:rPr>
                <w:spacing w:val="-18"/>
                <w:sz w:val="24"/>
              </w:rPr>
            </w:pPr>
            <w:r>
              <w:rPr>
                <w:b/>
                <w:sz w:val="28"/>
              </w:rPr>
              <w:t>投</w:t>
            </w:r>
            <w:r>
              <w:rPr>
                <w:b/>
                <w:sz w:val="28"/>
              </w:rPr>
              <w:tab/>
            </w:r>
            <w:r>
              <w:rPr>
                <w:b/>
                <w:sz w:val="28"/>
              </w:rPr>
              <w:t>标 人：</w:t>
            </w:r>
            <w:r>
              <w:rPr>
                <w:b/>
                <w:sz w:val="28"/>
                <w:u w:val="single"/>
              </w:rPr>
              <w:t xml:space="preserve"> </w:t>
            </w:r>
            <w:r>
              <w:rPr>
                <w:rFonts w:hint="eastAsia"/>
                <w:b/>
                <w:sz w:val="28"/>
                <w:u w:val="single"/>
                <w:lang w:val="en-US" w:eastAsia="zh-CN"/>
              </w:rPr>
              <w:t xml:space="preserve">                </w:t>
            </w:r>
            <w:r>
              <w:rPr>
                <w:sz w:val="24"/>
              </w:rPr>
              <w:t>（盖</w:t>
            </w:r>
            <w:r>
              <w:rPr>
                <w:spacing w:val="-3"/>
                <w:sz w:val="24"/>
              </w:rPr>
              <w:t>公</w:t>
            </w:r>
            <w:r>
              <w:rPr>
                <w:sz w:val="24"/>
              </w:rPr>
              <w:t>章</w:t>
            </w:r>
            <w:r>
              <w:rPr>
                <w:spacing w:val="-18"/>
                <w:sz w:val="24"/>
              </w:rPr>
              <w:t>）</w:t>
            </w:r>
          </w:p>
          <w:p>
            <w:pPr>
              <w:rPr>
                <w:rFonts w:hint="eastAsia"/>
                <w:b/>
                <w:color w:val="000000"/>
                <w:sz w:val="28"/>
                <w:vertAlign w:val="baseline"/>
              </w:rPr>
            </w:pPr>
          </w:p>
        </w:tc>
      </w:tr>
    </w:tbl>
    <w:p>
      <w:pPr>
        <w:tabs>
          <w:tab w:val="left" w:pos="1313"/>
        </w:tabs>
        <w:bidi w:val="0"/>
        <w:jc w:val="left"/>
        <w:rPr>
          <w:rFonts w:hint="eastAsia" w:eastAsia="宋体"/>
          <w:lang w:eastAsia="zh-CN"/>
        </w:rPr>
        <w:sectPr>
          <w:footerReference r:id="rId17" w:type="default"/>
          <w:pgSz w:w="11910" w:h="16840"/>
          <w:pgMar w:top="1440" w:right="600" w:bottom="1240" w:left="860" w:header="0" w:footer="1059" w:gutter="0"/>
          <w:pgBorders>
            <w:top w:val="none" w:sz="0" w:space="0"/>
            <w:left w:val="none" w:sz="0" w:space="0"/>
            <w:bottom w:val="none" w:sz="0" w:space="0"/>
            <w:right w:val="none" w:sz="0" w:space="0"/>
          </w:pgBorders>
          <w:pgNumType w:fmt="decimal"/>
          <w:cols w:space="720" w:num="1"/>
        </w:sectPr>
      </w:pPr>
    </w:p>
    <w:p>
      <w:pPr>
        <w:pStyle w:val="7"/>
        <w:spacing w:before="151"/>
        <w:ind w:left="448"/>
        <w:rPr>
          <w:color w:val="auto"/>
          <w:highlight w:val="none"/>
        </w:rPr>
      </w:pPr>
      <w:r>
        <w:rPr>
          <w:color w:val="auto"/>
          <w:highlight w:val="none"/>
        </w:rPr>
        <w:t>附：开评标表格（附件表格仅供参考，可在实际操作过程中进行调整）</w:t>
      </w:r>
    </w:p>
    <w:p>
      <w:pPr>
        <w:pStyle w:val="14"/>
        <w:spacing w:before="6"/>
        <w:rPr>
          <w:b/>
          <w:color w:val="auto"/>
          <w:sz w:val="14"/>
          <w:highlight w:val="none"/>
        </w:rPr>
      </w:pPr>
    </w:p>
    <w:p>
      <w:pPr>
        <w:spacing w:before="54"/>
        <w:ind w:left="4502" w:right="3217" w:firstLine="0"/>
        <w:jc w:val="center"/>
        <w:rPr>
          <w:b/>
          <w:color w:val="auto"/>
          <w:sz w:val="32"/>
          <w:highlight w:val="none"/>
        </w:rPr>
      </w:pPr>
      <w:r>
        <w:rPr>
          <w:b/>
          <w:color w:val="auto"/>
          <w:sz w:val="32"/>
          <w:highlight w:val="none"/>
        </w:rPr>
        <w:t>开标记录表</w:t>
      </w:r>
    </w:p>
    <w:p>
      <w:pPr>
        <w:ind w:firstLine="480" w:firstLineChars="200"/>
        <w:rPr>
          <w:color w:val="auto"/>
          <w:sz w:val="24"/>
          <w:szCs w:val="24"/>
          <w:highlight w:val="none"/>
        </w:rPr>
      </w:pPr>
      <w:r>
        <w:rPr>
          <w:rFonts w:hint="eastAsia"/>
          <w:color w:val="auto"/>
          <w:sz w:val="24"/>
          <w:szCs w:val="24"/>
          <w:highlight w:val="none"/>
          <w:lang w:val="en-US" w:eastAsia="zh-CN"/>
        </w:rPr>
        <w:t>工程名称</w:t>
      </w:r>
      <w:r>
        <w:rPr>
          <w:color w:val="auto"/>
          <w:sz w:val="24"/>
          <w:szCs w:val="24"/>
          <w:highlight w:val="none"/>
        </w:rPr>
        <w:t>：</w:t>
      </w:r>
      <w:r>
        <w:rPr>
          <w:rFonts w:hint="eastAsia"/>
          <w:color w:val="auto"/>
          <w:sz w:val="24"/>
          <w:szCs w:val="24"/>
          <w:highlight w:val="none"/>
          <w:lang w:eastAsia="zh-CN"/>
        </w:rPr>
        <w:t>云安区生猪产业园—优质生猪标准化规模养殖基地项目</w:t>
      </w:r>
      <w:r>
        <w:rPr>
          <w:rFonts w:hint="eastAsia"/>
          <w:color w:val="auto"/>
          <w:sz w:val="24"/>
          <w:szCs w:val="24"/>
          <w:highlight w:val="none"/>
          <w:lang w:val="en-US" w:eastAsia="zh-CN"/>
        </w:rPr>
        <w:t xml:space="preserve">                </w:t>
      </w:r>
      <w:r>
        <w:rPr>
          <w:color w:val="auto"/>
          <w:sz w:val="24"/>
          <w:szCs w:val="24"/>
          <w:highlight w:val="none"/>
        </w:rPr>
        <w:t>日 期：年</w:t>
      </w:r>
      <w:r>
        <w:rPr>
          <w:rFonts w:hint="eastAsia"/>
          <w:color w:val="auto"/>
          <w:sz w:val="24"/>
          <w:szCs w:val="24"/>
          <w:highlight w:val="none"/>
          <w:lang w:val="en-US" w:eastAsia="zh-CN"/>
        </w:rPr>
        <w:t xml:space="preserve"> </w:t>
      </w:r>
      <w:r>
        <w:rPr>
          <w:color w:val="auto"/>
          <w:sz w:val="24"/>
          <w:szCs w:val="24"/>
          <w:highlight w:val="none"/>
        </w:rPr>
        <w:t>月 日</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92"/>
        <w:gridCol w:w="1425"/>
        <w:gridCol w:w="1394"/>
        <w:gridCol w:w="1363"/>
        <w:gridCol w:w="1673"/>
        <w:gridCol w:w="804"/>
        <w:gridCol w:w="984"/>
        <w:gridCol w:w="882"/>
        <w:gridCol w:w="1251"/>
        <w:gridCol w:w="1024"/>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23" w:type="dxa"/>
            <w:vMerge w:val="restart"/>
            <w:noWrap w:val="0"/>
            <w:vAlign w:val="center"/>
          </w:tcPr>
          <w:p>
            <w:pPr>
              <w:spacing w:line="260" w:lineRule="exact"/>
              <w:ind w:left="-79" w:leftChars="-36" w:right="-112" w:rightChars="-51"/>
              <w:jc w:val="center"/>
              <w:rPr>
                <w:rFonts w:ascii="宋体" w:hAnsi="宋体"/>
              </w:rPr>
            </w:pPr>
            <w:r>
              <w:rPr>
                <w:rFonts w:hint="eastAsia" w:ascii="宋体" w:hAnsi="宋体"/>
              </w:rPr>
              <w:t>序号</w:t>
            </w:r>
          </w:p>
        </w:tc>
        <w:tc>
          <w:tcPr>
            <w:tcW w:w="1192" w:type="dxa"/>
            <w:vMerge w:val="restart"/>
            <w:noWrap w:val="0"/>
            <w:vAlign w:val="center"/>
          </w:tcPr>
          <w:p>
            <w:pPr>
              <w:spacing w:line="260" w:lineRule="exact"/>
              <w:jc w:val="center"/>
              <w:rPr>
                <w:rFonts w:ascii="宋体" w:hAnsi="宋体"/>
              </w:rPr>
            </w:pPr>
            <w:r>
              <w:rPr>
                <w:rFonts w:hint="eastAsia" w:ascii="宋体" w:hAnsi="宋体"/>
              </w:rPr>
              <w:t>投标人名称</w:t>
            </w:r>
          </w:p>
        </w:tc>
        <w:tc>
          <w:tcPr>
            <w:tcW w:w="7643" w:type="dxa"/>
            <w:gridSpan w:val="6"/>
            <w:noWrap w:val="0"/>
            <w:vAlign w:val="center"/>
          </w:tcPr>
          <w:p>
            <w:pPr>
              <w:spacing w:line="260" w:lineRule="exact"/>
              <w:ind w:left="-103" w:leftChars="-47" w:right="-112" w:rightChars="-51"/>
              <w:jc w:val="center"/>
              <w:rPr>
                <w:rFonts w:ascii="宋体" w:hAnsi="宋体" w:cs="宋体"/>
                <w:szCs w:val="21"/>
              </w:rPr>
            </w:pPr>
            <w:r>
              <w:rPr>
                <w:rFonts w:hint="eastAsia" w:ascii="宋体" w:hAnsi="宋体"/>
                <w:szCs w:val="21"/>
              </w:rPr>
              <w:t>检查内容</w:t>
            </w:r>
          </w:p>
        </w:tc>
        <w:tc>
          <w:tcPr>
            <w:tcW w:w="882" w:type="dxa"/>
            <w:vMerge w:val="restart"/>
            <w:noWrap w:val="0"/>
            <w:vAlign w:val="center"/>
          </w:tcPr>
          <w:p>
            <w:pPr>
              <w:jc w:val="center"/>
              <w:rPr>
                <w:rFonts w:ascii="宋体" w:hAnsi="宋体" w:cs="宋体"/>
                <w:szCs w:val="21"/>
              </w:rPr>
            </w:pPr>
            <w:r>
              <w:rPr>
                <w:rFonts w:hint="eastAsia"/>
                <w:szCs w:val="21"/>
              </w:rPr>
              <w:t>投标总价（元）</w:t>
            </w:r>
          </w:p>
        </w:tc>
        <w:tc>
          <w:tcPr>
            <w:tcW w:w="1251" w:type="dxa"/>
            <w:vMerge w:val="restart"/>
            <w:noWrap w:val="0"/>
            <w:vAlign w:val="center"/>
          </w:tcPr>
          <w:p>
            <w:pPr>
              <w:jc w:val="center"/>
              <w:rPr>
                <w:rFonts w:ascii="宋体" w:hAnsi="宋体" w:cs="宋体"/>
                <w:szCs w:val="21"/>
              </w:rPr>
            </w:pPr>
            <w:r>
              <w:rPr>
                <w:rFonts w:hint="eastAsia"/>
                <w:szCs w:val="21"/>
              </w:rPr>
              <w:t>总工期（个日历天）</w:t>
            </w:r>
          </w:p>
        </w:tc>
        <w:tc>
          <w:tcPr>
            <w:tcW w:w="1024" w:type="dxa"/>
            <w:vMerge w:val="restart"/>
            <w:noWrap w:val="0"/>
            <w:vAlign w:val="center"/>
          </w:tcPr>
          <w:p>
            <w:pPr>
              <w:jc w:val="center"/>
              <w:rPr>
                <w:rFonts w:ascii="宋体" w:hAnsi="宋体" w:cs="宋体"/>
                <w:szCs w:val="21"/>
              </w:rPr>
            </w:pPr>
            <w:r>
              <w:rPr>
                <w:rFonts w:hint="eastAsia"/>
                <w:szCs w:val="21"/>
              </w:rPr>
              <w:t>投标单位经办人签名</w:t>
            </w:r>
          </w:p>
        </w:tc>
        <w:tc>
          <w:tcPr>
            <w:tcW w:w="501" w:type="dxa"/>
            <w:vMerge w:val="restart"/>
            <w:noWrap w:val="0"/>
            <w:vAlign w:val="center"/>
          </w:tcPr>
          <w:p>
            <w:pPr>
              <w:spacing w:line="260" w:lineRule="exact"/>
              <w:ind w:left="-101" w:leftChars="-46" w:right="-112" w:rightChars="-51"/>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1123" w:type="dxa"/>
            <w:vMerge w:val="continue"/>
            <w:noWrap w:val="0"/>
            <w:vAlign w:val="center"/>
          </w:tcPr>
          <w:p>
            <w:pPr>
              <w:spacing w:line="260" w:lineRule="exact"/>
              <w:jc w:val="center"/>
              <w:rPr>
                <w:rFonts w:ascii="宋体" w:hAnsi="宋体"/>
              </w:rPr>
            </w:pPr>
          </w:p>
        </w:tc>
        <w:tc>
          <w:tcPr>
            <w:tcW w:w="1192" w:type="dxa"/>
            <w:vMerge w:val="continue"/>
            <w:noWrap w:val="0"/>
            <w:vAlign w:val="center"/>
          </w:tcPr>
          <w:p>
            <w:pPr>
              <w:spacing w:line="260" w:lineRule="exact"/>
              <w:jc w:val="center"/>
              <w:rPr>
                <w:rFonts w:ascii="宋体" w:hAnsi="宋体"/>
              </w:rPr>
            </w:pPr>
          </w:p>
        </w:tc>
        <w:tc>
          <w:tcPr>
            <w:tcW w:w="1425" w:type="dxa"/>
            <w:noWrap w:val="0"/>
            <w:vAlign w:val="center"/>
          </w:tcPr>
          <w:p>
            <w:pPr>
              <w:spacing w:line="360" w:lineRule="auto"/>
              <w:jc w:val="center"/>
              <w:rPr>
                <w:rFonts w:ascii="宋体" w:hAnsi="宋体" w:cs="宋体"/>
                <w:lang w:bidi="mn-Mong-CN"/>
              </w:rPr>
            </w:pPr>
            <w:r>
              <w:rPr>
                <w:rFonts w:ascii="宋体" w:hAnsi="宋体" w:cs="宋体"/>
                <w:lang w:bidi="mn-Mong-CN"/>
              </w:rPr>
              <w:t>投标担保类型（保险/保函/转账）</w:t>
            </w:r>
          </w:p>
        </w:tc>
        <w:tc>
          <w:tcPr>
            <w:tcW w:w="1394" w:type="dxa"/>
            <w:noWrap w:val="0"/>
            <w:vAlign w:val="center"/>
          </w:tcPr>
          <w:p>
            <w:pPr>
              <w:spacing w:line="360" w:lineRule="auto"/>
              <w:jc w:val="center"/>
              <w:rPr>
                <w:rFonts w:ascii="宋体" w:hAnsi="宋体" w:cs="宋体"/>
                <w:lang w:bidi="mn-Mong-CN"/>
              </w:rPr>
            </w:pPr>
            <w:r>
              <w:rPr>
                <w:rFonts w:hint="eastAsia" w:ascii="宋体" w:hAnsi="宋体" w:cs="宋体"/>
                <w:lang w:bidi="mn-Mong-CN"/>
              </w:rPr>
              <w:t>保险/保函开具机构</w:t>
            </w:r>
          </w:p>
        </w:tc>
        <w:tc>
          <w:tcPr>
            <w:tcW w:w="1363" w:type="dxa"/>
            <w:noWrap w:val="0"/>
            <w:vAlign w:val="center"/>
          </w:tcPr>
          <w:p>
            <w:pPr>
              <w:spacing w:line="360" w:lineRule="auto"/>
              <w:jc w:val="center"/>
              <w:rPr>
                <w:rFonts w:ascii="宋体" w:hAnsi="宋体" w:cs="宋体"/>
                <w:lang w:bidi="mn-Mong-CN"/>
              </w:rPr>
            </w:pPr>
            <w:r>
              <w:rPr>
                <w:rFonts w:hint="eastAsia" w:ascii="宋体" w:hAnsi="宋体" w:cs="宋体"/>
                <w:lang w:bidi="mn-Mong-CN"/>
              </w:rPr>
              <w:t>保险/保函编号</w:t>
            </w:r>
          </w:p>
        </w:tc>
        <w:tc>
          <w:tcPr>
            <w:tcW w:w="1673" w:type="dxa"/>
            <w:noWrap w:val="0"/>
            <w:vAlign w:val="center"/>
          </w:tcPr>
          <w:p>
            <w:pPr>
              <w:jc w:val="center"/>
              <w:rPr>
                <w:rFonts w:ascii="宋体" w:hAnsi="宋体" w:cs="宋体"/>
                <w:szCs w:val="21"/>
              </w:rPr>
            </w:pPr>
            <w:r>
              <w:rPr>
                <w:rFonts w:hint="eastAsia"/>
                <w:szCs w:val="21"/>
              </w:rPr>
              <w:t>法人证明书，授权委托书（如有）</w:t>
            </w:r>
          </w:p>
        </w:tc>
        <w:tc>
          <w:tcPr>
            <w:tcW w:w="804" w:type="dxa"/>
            <w:noWrap w:val="0"/>
            <w:vAlign w:val="center"/>
          </w:tcPr>
          <w:p>
            <w:pPr>
              <w:jc w:val="center"/>
              <w:rPr>
                <w:rFonts w:ascii="宋体" w:hAnsi="宋体" w:cs="宋体"/>
                <w:szCs w:val="21"/>
              </w:rPr>
            </w:pPr>
            <w:r>
              <w:rPr>
                <w:rFonts w:hint="eastAsia"/>
                <w:szCs w:val="21"/>
              </w:rPr>
              <w:t>密封情况</w:t>
            </w:r>
          </w:p>
        </w:tc>
        <w:tc>
          <w:tcPr>
            <w:tcW w:w="984" w:type="dxa"/>
            <w:noWrap w:val="0"/>
            <w:vAlign w:val="center"/>
          </w:tcPr>
          <w:p>
            <w:pPr>
              <w:jc w:val="center"/>
              <w:rPr>
                <w:rFonts w:ascii="宋体" w:hAnsi="宋体" w:cs="宋体"/>
                <w:szCs w:val="21"/>
              </w:rPr>
            </w:pPr>
            <w:r>
              <w:rPr>
                <w:rFonts w:hint="eastAsia"/>
                <w:szCs w:val="21"/>
              </w:rPr>
              <w:t>标书盖章情况</w:t>
            </w:r>
          </w:p>
        </w:tc>
        <w:tc>
          <w:tcPr>
            <w:tcW w:w="882" w:type="dxa"/>
            <w:vMerge w:val="continue"/>
            <w:noWrap w:val="0"/>
            <w:vAlign w:val="center"/>
          </w:tcPr>
          <w:p>
            <w:pPr>
              <w:jc w:val="center"/>
              <w:rPr>
                <w:rFonts w:ascii="宋体" w:hAnsi="宋体" w:cs="宋体"/>
                <w:szCs w:val="21"/>
              </w:rPr>
            </w:pPr>
          </w:p>
        </w:tc>
        <w:tc>
          <w:tcPr>
            <w:tcW w:w="1251" w:type="dxa"/>
            <w:vMerge w:val="continue"/>
            <w:noWrap w:val="0"/>
            <w:vAlign w:val="center"/>
          </w:tcPr>
          <w:p>
            <w:pPr>
              <w:spacing w:line="260" w:lineRule="exact"/>
              <w:ind w:firstLine="1100" w:firstLineChars="500"/>
              <w:rPr>
                <w:rFonts w:ascii="宋体" w:hAnsi="宋体"/>
                <w:szCs w:val="21"/>
              </w:rPr>
            </w:pPr>
          </w:p>
        </w:tc>
        <w:tc>
          <w:tcPr>
            <w:tcW w:w="1024" w:type="dxa"/>
            <w:vMerge w:val="continue"/>
            <w:noWrap w:val="0"/>
            <w:vAlign w:val="center"/>
          </w:tcPr>
          <w:p>
            <w:pPr>
              <w:spacing w:line="260" w:lineRule="exact"/>
              <w:ind w:firstLine="1100" w:firstLineChars="500"/>
              <w:rPr>
                <w:rFonts w:ascii="宋体" w:hAnsi="宋体"/>
                <w:szCs w:val="21"/>
              </w:rPr>
            </w:pPr>
          </w:p>
        </w:tc>
        <w:tc>
          <w:tcPr>
            <w:tcW w:w="501" w:type="dxa"/>
            <w:vMerge w:val="continue"/>
            <w:noWrap w:val="0"/>
            <w:vAlign w:val="top"/>
          </w:tcPr>
          <w:p>
            <w:pPr>
              <w:spacing w:line="260" w:lineRule="exact"/>
              <w:ind w:firstLine="1100" w:firstLineChars="5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1123" w:type="dxa"/>
            <w:noWrap w:val="0"/>
            <w:vAlign w:val="center"/>
          </w:tcPr>
          <w:p>
            <w:pPr>
              <w:jc w:val="center"/>
              <w:rPr>
                <w:rFonts w:ascii="宋体" w:hAnsi="宋体"/>
                <w:bCs/>
              </w:rPr>
            </w:pPr>
            <w:r>
              <w:rPr>
                <w:rFonts w:hint="eastAsia" w:ascii="宋体" w:hAnsi="宋体"/>
                <w:bCs/>
              </w:rPr>
              <w:t>1</w:t>
            </w:r>
          </w:p>
        </w:tc>
        <w:tc>
          <w:tcPr>
            <w:tcW w:w="1192" w:type="dxa"/>
            <w:noWrap w:val="0"/>
            <w:vAlign w:val="center"/>
          </w:tcPr>
          <w:p>
            <w:pPr>
              <w:spacing w:line="280" w:lineRule="exact"/>
              <w:jc w:val="center"/>
              <w:rPr>
                <w:rFonts w:ascii="宋体" w:hAnsi="宋体"/>
                <w:szCs w:val="21"/>
              </w:rPr>
            </w:pPr>
          </w:p>
        </w:tc>
        <w:tc>
          <w:tcPr>
            <w:tcW w:w="1425" w:type="dxa"/>
            <w:noWrap w:val="0"/>
            <w:vAlign w:val="center"/>
          </w:tcPr>
          <w:p>
            <w:pPr>
              <w:jc w:val="center"/>
            </w:pPr>
          </w:p>
        </w:tc>
        <w:tc>
          <w:tcPr>
            <w:tcW w:w="1394" w:type="dxa"/>
            <w:noWrap w:val="0"/>
            <w:vAlign w:val="center"/>
          </w:tcPr>
          <w:p>
            <w:pPr>
              <w:jc w:val="center"/>
            </w:pPr>
          </w:p>
        </w:tc>
        <w:tc>
          <w:tcPr>
            <w:tcW w:w="1363" w:type="dxa"/>
            <w:noWrap w:val="0"/>
            <w:vAlign w:val="center"/>
          </w:tcPr>
          <w:p>
            <w:pPr>
              <w:jc w:val="center"/>
            </w:pPr>
          </w:p>
        </w:tc>
        <w:tc>
          <w:tcPr>
            <w:tcW w:w="1673" w:type="dxa"/>
            <w:noWrap w:val="0"/>
            <w:vAlign w:val="center"/>
          </w:tcPr>
          <w:p>
            <w:pPr>
              <w:jc w:val="center"/>
            </w:pPr>
          </w:p>
        </w:tc>
        <w:tc>
          <w:tcPr>
            <w:tcW w:w="804" w:type="dxa"/>
            <w:noWrap w:val="0"/>
            <w:vAlign w:val="center"/>
          </w:tcPr>
          <w:p>
            <w:pPr>
              <w:jc w:val="center"/>
            </w:pPr>
          </w:p>
        </w:tc>
        <w:tc>
          <w:tcPr>
            <w:tcW w:w="984" w:type="dxa"/>
            <w:noWrap w:val="0"/>
            <w:vAlign w:val="center"/>
          </w:tcPr>
          <w:p>
            <w:pPr>
              <w:jc w:val="center"/>
            </w:pPr>
          </w:p>
        </w:tc>
        <w:tc>
          <w:tcPr>
            <w:tcW w:w="882" w:type="dxa"/>
            <w:noWrap w:val="0"/>
            <w:vAlign w:val="center"/>
          </w:tcPr>
          <w:p>
            <w:pPr>
              <w:jc w:val="center"/>
              <w:rPr>
                <w:rFonts w:ascii="宋体" w:hAnsi="宋体"/>
                <w:szCs w:val="21"/>
              </w:rPr>
            </w:pPr>
          </w:p>
        </w:tc>
        <w:tc>
          <w:tcPr>
            <w:tcW w:w="1251" w:type="dxa"/>
            <w:noWrap w:val="0"/>
            <w:vAlign w:val="center"/>
          </w:tcPr>
          <w:p>
            <w:pPr>
              <w:jc w:val="center"/>
              <w:rPr>
                <w:rFonts w:ascii="宋体" w:hAnsi="宋体"/>
                <w:b/>
                <w:bCs/>
              </w:rPr>
            </w:pPr>
          </w:p>
        </w:tc>
        <w:tc>
          <w:tcPr>
            <w:tcW w:w="1024" w:type="dxa"/>
            <w:noWrap w:val="0"/>
            <w:vAlign w:val="center"/>
          </w:tcPr>
          <w:p>
            <w:pPr>
              <w:jc w:val="center"/>
              <w:rPr>
                <w:rFonts w:ascii="宋体" w:hAnsi="宋体"/>
                <w:b/>
                <w:bCs/>
              </w:rPr>
            </w:pPr>
          </w:p>
        </w:tc>
        <w:tc>
          <w:tcPr>
            <w:tcW w:w="501" w:type="dxa"/>
            <w:noWrap w:val="0"/>
            <w:vAlign w:val="center"/>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1123" w:type="dxa"/>
            <w:noWrap w:val="0"/>
            <w:vAlign w:val="center"/>
          </w:tcPr>
          <w:p>
            <w:pPr>
              <w:jc w:val="center"/>
              <w:rPr>
                <w:rFonts w:ascii="宋体" w:hAnsi="宋体"/>
                <w:bCs/>
              </w:rPr>
            </w:pPr>
            <w:r>
              <w:rPr>
                <w:rFonts w:hint="eastAsia" w:ascii="宋体" w:hAnsi="宋体"/>
                <w:bCs/>
              </w:rPr>
              <w:t>2</w:t>
            </w:r>
          </w:p>
        </w:tc>
        <w:tc>
          <w:tcPr>
            <w:tcW w:w="1192" w:type="dxa"/>
            <w:noWrap w:val="0"/>
            <w:vAlign w:val="center"/>
          </w:tcPr>
          <w:p>
            <w:pPr>
              <w:spacing w:line="280" w:lineRule="exact"/>
              <w:jc w:val="center"/>
              <w:rPr>
                <w:rFonts w:ascii="宋体" w:hAnsi="宋体"/>
                <w:szCs w:val="21"/>
              </w:rPr>
            </w:pPr>
          </w:p>
        </w:tc>
        <w:tc>
          <w:tcPr>
            <w:tcW w:w="1425" w:type="dxa"/>
            <w:noWrap w:val="0"/>
            <w:vAlign w:val="center"/>
          </w:tcPr>
          <w:p>
            <w:pPr>
              <w:jc w:val="center"/>
            </w:pPr>
          </w:p>
        </w:tc>
        <w:tc>
          <w:tcPr>
            <w:tcW w:w="1394" w:type="dxa"/>
            <w:noWrap w:val="0"/>
            <w:vAlign w:val="center"/>
          </w:tcPr>
          <w:p>
            <w:pPr>
              <w:jc w:val="center"/>
            </w:pPr>
          </w:p>
        </w:tc>
        <w:tc>
          <w:tcPr>
            <w:tcW w:w="1363" w:type="dxa"/>
            <w:noWrap w:val="0"/>
            <w:vAlign w:val="center"/>
          </w:tcPr>
          <w:p>
            <w:pPr>
              <w:jc w:val="center"/>
            </w:pPr>
          </w:p>
        </w:tc>
        <w:tc>
          <w:tcPr>
            <w:tcW w:w="1673" w:type="dxa"/>
            <w:noWrap w:val="0"/>
            <w:vAlign w:val="center"/>
          </w:tcPr>
          <w:p>
            <w:pPr>
              <w:jc w:val="center"/>
            </w:pPr>
          </w:p>
        </w:tc>
        <w:tc>
          <w:tcPr>
            <w:tcW w:w="804" w:type="dxa"/>
            <w:noWrap w:val="0"/>
            <w:vAlign w:val="center"/>
          </w:tcPr>
          <w:p>
            <w:pPr>
              <w:jc w:val="center"/>
            </w:pPr>
          </w:p>
        </w:tc>
        <w:tc>
          <w:tcPr>
            <w:tcW w:w="984" w:type="dxa"/>
            <w:noWrap w:val="0"/>
            <w:vAlign w:val="center"/>
          </w:tcPr>
          <w:p>
            <w:pPr>
              <w:jc w:val="center"/>
            </w:pPr>
          </w:p>
        </w:tc>
        <w:tc>
          <w:tcPr>
            <w:tcW w:w="882" w:type="dxa"/>
            <w:noWrap w:val="0"/>
            <w:vAlign w:val="center"/>
          </w:tcPr>
          <w:p>
            <w:pPr>
              <w:jc w:val="center"/>
              <w:rPr>
                <w:rFonts w:ascii="宋体" w:hAnsi="宋体"/>
                <w:szCs w:val="21"/>
              </w:rPr>
            </w:pPr>
          </w:p>
        </w:tc>
        <w:tc>
          <w:tcPr>
            <w:tcW w:w="1251" w:type="dxa"/>
            <w:noWrap w:val="0"/>
            <w:vAlign w:val="center"/>
          </w:tcPr>
          <w:p>
            <w:pPr>
              <w:jc w:val="center"/>
              <w:rPr>
                <w:rFonts w:ascii="宋体" w:hAnsi="宋体"/>
                <w:b/>
                <w:bCs/>
              </w:rPr>
            </w:pPr>
          </w:p>
        </w:tc>
        <w:tc>
          <w:tcPr>
            <w:tcW w:w="1024" w:type="dxa"/>
            <w:noWrap w:val="0"/>
            <w:vAlign w:val="center"/>
          </w:tcPr>
          <w:p>
            <w:pPr>
              <w:jc w:val="center"/>
              <w:rPr>
                <w:rFonts w:ascii="宋体" w:hAnsi="宋体"/>
                <w:b/>
                <w:bCs/>
              </w:rPr>
            </w:pPr>
          </w:p>
        </w:tc>
        <w:tc>
          <w:tcPr>
            <w:tcW w:w="501" w:type="dxa"/>
            <w:noWrap w:val="0"/>
            <w:vAlign w:val="center"/>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1123" w:type="dxa"/>
            <w:noWrap w:val="0"/>
            <w:vAlign w:val="center"/>
          </w:tcPr>
          <w:p>
            <w:pPr>
              <w:jc w:val="center"/>
              <w:rPr>
                <w:rFonts w:ascii="宋体" w:hAnsi="宋体"/>
                <w:bCs/>
              </w:rPr>
            </w:pPr>
            <w:r>
              <w:rPr>
                <w:rFonts w:ascii="宋体" w:hAnsi="宋体"/>
                <w:bCs/>
              </w:rPr>
              <w:t>…</w:t>
            </w:r>
          </w:p>
        </w:tc>
        <w:tc>
          <w:tcPr>
            <w:tcW w:w="1192" w:type="dxa"/>
            <w:noWrap w:val="0"/>
            <w:vAlign w:val="center"/>
          </w:tcPr>
          <w:p>
            <w:pPr>
              <w:spacing w:line="280" w:lineRule="exact"/>
              <w:jc w:val="center"/>
              <w:rPr>
                <w:rFonts w:ascii="宋体" w:hAnsi="宋体"/>
                <w:szCs w:val="21"/>
              </w:rPr>
            </w:pPr>
          </w:p>
        </w:tc>
        <w:tc>
          <w:tcPr>
            <w:tcW w:w="1425" w:type="dxa"/>
            <w:noWrap w:val="0"/>
            <w:vAlign w:val="center"/>
          </w:tcPr>
          <w:p>
            <w:pPr>
              <w:jc w:val="center"/>
            </w:pPr>
          </w:p>
        </w:tc>
        <w:tc>
          <w:tcPr>
            <w:tcW w:w="1394" w:type="dxa"/>
            <w:noWrap w:val="0"/>
            <w:vAlign w:val="center"/>
          </w:tcPr>
          <w:p>
            <w:pPr>
              <w:jc w:val="center"/>
            </w:pPr>
          </w:p>
        </w:tc>
        <w:tc>
          <w:tcPr>
            <w:tcW w:w="1363" w:type="dxa"/>
            <w:noWrap w:val="0"/>
            <w:vAlign w:val="center"/>
          </w:tcPr>
          <w:p>
            <w:pPr>
              <w:jc w:val="center"/>
            </w:pPr>
          </w:p>
        </w:tc>
        <w:tc>
          <w:tcPr>
            <w:tcW w:w="1673" w:type="dxa"/>
            <w:noWrap w:val="0"/>
            <w:vAlign w:val="center"/>
          </w:tcPr>
          <w:p>
            <w:pPr>
              <w:jc w:val="center"/>
            </w:pPr>
          </w:p>
        </w:tc>
        <w:tc>
          <w:tcPr>
            <w:tcW w:w="804" w:type="dxa"/>
            <w:noWrap w:val="0"/>
            <w:vAlign w:val="center"/>
          </w:tcPr>
          <w:p>
            <w:pPr>
              <w:jc w:val="center"/>
            </w:pPr>
          </w:p>
        </w:tc>
        <w:tc>
          <w:tcPr>
            <w:tcW w:w="984" w:type="dxa"/>
            <w:noWrap w:val="0"/>
            <w:vAlign w:val="center"/>
          </w:tcPr>
          <w:p>
            <w:pPr>
              <w:jc w:val="center"/>
            </w:pPr>
          </w:p>
        </w:tc>
        <w:tc>
          <w:tcPr>
            <w:tcW w:w="882" w:type="dxa"/>
            <w:noWrap w:val="0"/>
            <w:vAlign w:val="center"/>
          </w:tcPr>
          <w:p>
            <w:pPr>
              <w:jc w:val="center"/>
              <w:rPr>
                <w:rFonts w:ascii="宋体" w:hAnsi="宋体"/>
                <w:szCs w:val="21"/>
              </w:rPr>
            </w:pPr>
          </w:p>
        </w:tc>
        <w:tc>
          <w:tcPr>
            <w:tcW w:w="1251" w:type="dxa"/>
            <w:noWrap w:val="0"/>
            <w:vAlign w:val="center"/>
          </w:tcPr>
          <w:p>
            <w:pPr>
              <w:jc w:val="center"/>
              <w:rPr>
                <w:rFonts w:ascii="宋体" w:hAnsi="宋体"/>
                <w:b/>
                <w:bCs/>
              </w:rPr>
            </w:pPr>
          </w:p>
        </w:tc>
        <w:tc>
          <w:tcPr>
            <w:tcW w:w="1024" w:type="dxa"/>
            <w:noWrap w:val="0"/>
            <w:vAlign w:val="center"/>
          </w:tcPr>
          <w:p>
            <w:pPr>
              <w:jc w:val="center"/>
              <w:rPr>
                <w:rFonts w:ascii="宋体" w:hAnsi="宋体"/>
                <w:b/>
                <w:bCs/>
              </w:rPr>
            </w:pPr>
          </w:p>
        </w:tc>
        <w:tc>
          <w:tcPr>
            <w:tcW w:w="501" w:type="dxa"/>
            <w:noWrap w:val="0"/>
            <w:vAlign w:val="center"/>
          </w:tcPr>
          <w:p>
            <w:pPr>
              <w:jc w:val="center"/>
              <w:rPr>
                <w:rFonts w:ascii="宋体" w:hAnsi="宋体"/>
                <w:b/>
                <w:bCs/>
              </w:rPr>
            </w:pPr>
          </w:p>
        </w:tc>
      </w:tr>
    </w:tbl>
    <w:p>
      <w:pPr>
        <w:pStyle w:val="14"/>
        <w:rPr>
          <w:color w:val="auto"/>
          <w:sz w:val="20"/>
          <w:highlight w:val="none"/>
        </w:rPr>
      </w:pPr>
    </w:p>
    <w:p>
      <w:pPr>
        <w:pStyle w:val="10"/>
        <w:tabs>
          <w:tab w:val="left" w:pos="8087"/>
        </w:tabs>
        <w:spacing w:before="66"/>
        <w:ind w:left="764"/>
        <w:rPr>
          <w:color w:val="auto"/>
          <w:highlight w:val="none"/>
        </w:rPr>
      </w:pPr>
      <w:r>
        <w:rPr>
          <w:color w:val="auto"/>
          <w:highlight w:val="none"/>
        </w:rPr>
        <w:t>招标单位代表签名：</w:t>
      </w:r>
      <w:r>
        <w:rPr>
          <w:color w:val="auto"/>
          <w:highlight w:val="none"/>
        </w:rPr>
        <w:tab/>
      </w:r>
    </w:p>
    <w:p>
      <w:pPr>
        <w:pStyle w:val="14"/>
        <w:spacing w:before="6"/>
        <w:rPr>
          <w:rFonts w:ascii="宋体" w:hAnsi="宋体" w:eastAsia="宋体" w:cs="宋体"/>
          <w:color w:val="auto"/>
          <w:sz w:val="24"/>
          <w:szCs w:val="24"/>
          <w:highlight w:val="none"/>
          <w:lang w:val="zh-CN" w:eastAsia="zh-CN" w:bidi="zh-CN"/>
        </w:rPr>
      </w:pPr>
    </w:p>
    <w:p>
      <w:pPr>
        <w:pStyle w:val="11"/>
        <w:tabs>
          <w:tab w:val="left" w:pos="8120"/>
        </w:tabs>
        <w:ind w:left="779"/>
        <w:rPr>
          <w:color w:val="auto"/>
          <w:highlight w:val="none"/>
        </w:rPr>
      </w:pPr>
      <w:r>
        <w:rPr>
          <w:rFonts w:ascii="宋体" w:hAnsi="宋体" w:eastAsia="宋体" w:cs="宋体"/>
          <w:color w:val="auto"/>
          <w:sz w:val="24"/>
          <w:szCs w:val="24"/>
          <w:highlight w:val="none"/>
          <w:lang w:val="zh-CN" w:eastAsia="zh-CN" w:bidi="zh-CN"/>
        </w:rPr>
        <w:t>招标代理机构代表签名</w:t>
      </w:r>
      <w:r>
        <w:rPr>
          <w:color w:val="auto"/>
          <w:highlight w:val="none"/>
        </w:rPr>
        <w:t>：</w:t>
      </w:r>
      <w:r>
        <w:rPr>
          <w:color w:val="auto"/>
          <w:highlight w:val="none"/>
        </w:rPr>
        <w:tab/>
      </w:r>
    </w:p>
    <w:p>
      <w:pPr>
        <w:spacing w:after="0"/>
        <w:rPr>
          <w:color w:val="auto"/>
          <w:highlight w:val="none"/>
        </w:rPr>
        <w:sectPr>
          <w:footerReference r:id="rId18" w:type="default"/>
          <w:pgSz w:w="16840" w:h="11910" w:orient="landscape"/>
          <w:pgMar w:top="1100" w:right="960" w:bottom="1240" w:left="1100" w:header="0" w:footer="1059" w:gutter="0"/>
          <w:pgBorders>
            <w:top w:val="none" w:sz="0" w:space="0"/>
            <w:left w:val="none" w:sz="0" w:space="0"/>
            <w:bottom w:val="none" w:sz="0" w:space="0"/>
            <w:right w:val="none" w:sz="0" w:space="0"/>
          </w:pgBorders>
          <w:pgNumType w:fmt="decimal"/>
          <w:cols w:space="720" w:num="1"/>
        </w:sectPr>
      </w:pPr>
    </w:p>
    <w:p>
      <w:pPr>
        <w:spacing w:before="79"/>
        <w:ind w:left="4540" w:right="0" w:firstLine="0"/>
        <w:jc w:val="left"/>
        <w:rPr>
          <w:b/>
          <w:color w:val="auto"/>
          <w:sz w:val="32"/>
          <w:highlight w:val="none"/>
        </w:rPr>
      </w:pPr>
      <w:r>
        <w:rPr>
          <w:b/>
          <w:color w:val="auto"/>
          <w:sz w:val="32"/>
          <w:highlight w:val="none"/>
        </w:rPr>
        <w:t>形式性、资格性及响应性评审表</w:t>
      </w:r>
    </w:p>
    <w:p>
      <w:pPr>
        <w:ind w:firstLine="240" w:firstLineChars="100"/>
        <w:rPr>
          <w:color w:val="auto"/>
          <w:sz w:val="24"/>
          <w:szCs w:val="24"/>
          <w:highlight w:val="none"/>
        </w:rPr>
      </w:pPr>
      <w:r>
        <w:rPr>
          <w:rFonts w:hint="eastAsia"/>
          <w:color w:val="auto"/>
          <w:sz w:val="24"/>
          <w:szCs w:val="24"/>
          <w:highlight w:val="none"/>
          <w:lang w:val="en-US" w:eastAsia="zh-CN"/>
        </w:rPr>
        <w:t>工程名称</w:t>
      </w:r>
      <w:r>
        <w:rPr>
          <w:color w:val="auto"/>
          <w:sz w:val="24"/>
          <w:szCs w:val="24"/>
          <w:highlight w:val="none"/>
        </w:rPr>
        <w:t>：</w:t>
      </w:r>
      <w:r>
        <w:rPr>
          <w:rFonts w:hint="eastAsia"/>
          <w:color w:val="auto"/>
          <w:sz w:val="24"/>
          <w:szCs w:val="24"/>
          <w:highlight w:val="none"/>
          <w:lang w:eastAsia="zh-CN"/>
        </w:rPr>
        <w:t>云安区生猪产业园—优质生猪标准化规模养殖基地项目</w:t>
      </w:r>
      <w:r>
        <w:rPr>
          <w:rFonts w:hint="eastAsia"/>
          <w:color w:val="auto"/>
          <w:sz w:val="24"/>
          <w:szCs w:val="24"/>
          <w:highlight w:val="none"/>
          <w:lang w:val="en-US" w:eastAsia="zh-CN"/>
        </w:rPr>
        <w:t xml:space="preserve">                    </w:t>
      </w:r>
      <w:r>
        <w:rPr>
          <w:color w:val="auto"/>
          <w:sz w:val="24"/>
          <w:szCs w:val="24"/>
          <w:highlight w:val="none"/>
        </w:rPr>
        <w:t>日 期：</w:t>
      </w:r>
      <w:r>
        <w:rPr>
          <w:color w:val="auto"/>
          <w:sz w:val="24"/>
          <w:szCs w:val="24"/>
          <w:highlight w:val="none"/>
        </w:rPr>
        <w:tab/>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 日</w:t>
      </w:r>
    </w:p>
    <w:p>
      <w:pPr>
        <w:rPr>
          <w:color w:val="auto"/>
          <w:highlight w:val="none"/>
        </w:rPr>
      </w:pPr>
    </w:p>
    <w:tbl>
      <w:tblPr>
        <w:tblStyle w:val="23"/>
        <w:tblW w:w="15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493"/>
        <w:gridCol w:w="563"/>
        <w:gridCol w:w="502"/>
        <w:gridCol w:w="493"/>
        <w:gridCol w:w="516"/>
        <w:gridCol w:w="472"/>
        <w:gridCol w:w="462"/>
        <w:gridCol w:w="1045"/>
        <w:gridCol w:w="1731"/>
        <w:gridCol w:w="751"/>
        <w:gridCol w:w="2739"/>
        <w:gridCol w:w="1407"/>
        <w:gridCol w:w="461"/>
        <w:gridCol w:w="423"/>
        <w:gridCol w:w="451"/>
        <w:gridCol w:w="533"/>
        <w:gridCol w:w="470"/>
        <w:gridCol w:w="486"/>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530" w:type="dxa"/>
            <w:vMerge w:val="restart"/>
            <w:noWrap w:val="0"/>
            <w:vAlign w:val="center"/>
          </w:tcPr>
          <w:p>
            <w:pPr>
              <w:pStyle w:val="16"/>
              <w:spacing w:line="380" w:lineRule="exact"/>
              <w:jc w:val="center"/>
              <w:rPr>
                <w:rFonts w:hAnsi="宋体" w:cs="宋体"/>
                <w:sz w:val="18"/>
                <w:szCs w:val="18"/>
                <w:lang w:val="en-US" w:eastAsia="zh-CN"/>
              </w:rPr>
            </w:pPr>
            <w:r>
              <w:rPr>
                <w:rFonts w:hint="eastAsia" w:hAnsi="宋体" w:cs="宋体"/>
                <w:sz w:val="18"/>
                <w:szCs w:val="18"/>
                <w:lang w:val="en-US" w:eastAsia="zh-CN"/>
              </w:rPr>
              <w:t>序号</w:t>
            </w:r>
          </w:p>
        </w:tc>
        <w:tc>
          <w:tcPr>
            <w:tcW w:w="493" w:type="dxa"/>
            <w:vMerge w:val="restart"/>
            <w:noWrap w:val="0"/>
            <w:vAlign w:val="center"/>
          </w:tcPr>
          <w:p>
            <w:pPr>
              <w:pStyle w:val="16"/>
              <w:spacing w:line="380" w:lineRule="exact"/>
              <w:jc w:val="center"/>
              <w:rPr>
                <w:rFonts w:hAnsi="宋体" w:cs="宋体"/>
                <w:sz w:val="18"/>
                <w:szCs w:val="18"/>
                <w:lang w:val="en-US" w:eastAsia="zh-CN"/>
              </w:rPr>
            </w:pPr>
            <w:r>
              <w:rPr>
                <w:rFonts w:hint="eastAsia" w:hAnsi="宋体" w:cs="宋体"/>
                <w:sz w:val="18"/>
                <w:szCs w:val="18"/>
                <w:lang w:val="en-US" w:eastAsia="zh-CN"/>
              </w:rPr>
              <w:t>投标人名称</w:t>
            </w:r>
          </w:p>
        </w:tc>
        <w:tc>
          <w:tcPr>
            <w:tcW w:w="2074" w:type="dxa"/>
            <w:gridSpan w:val="4"/>
            <w:noWrap w:val="0"/>
            <w:vAlign w:val="center"/>
          </w:tcPr>
          <w:p>
            <w:pPr>
              <w:pStyle w:val="16"/>
              <w:spacing w:line="380" w:lineRule="exact"/>
              <w:jc w:val="center"/>
              <w:rPr>
                <w:rFonts w:hAnsi="宋体" w:cs="宋体"/>
                <w:sz w:val="22"/>
                <w:szCs w:val="21"/>
                <w:lang w:val="en-US" w:eastAsia="zh-CN"/>
              </w:rPr>
            </w:pPr>
            <w:r>
              <w:rPr>
                <w:rFonts w:hint="eastAsia" w:hAnsi="宋体" w:cs="宋体"/>
                <w:sz w:val="22"/>
                <w:szCs w:val="21"/>
                <w:lang w:val="en-US" w:eastAsia="zh-CN"/>
              </w:rPr>
              <w:t>形式评审</w:t>
            </w:r>
          </w:p>
        </w:tc>
        <w:tc>
          <w:tcPr>
            <w:tcW w:w="8607" w:type="dxa"/>
            <w:gridSpan w:val="7"/>
            <w:noWrap w:val="0"/>
            <w:vAlign w:val="center"/>
          </w:tcPr>
          <w:p>
            <w:pPr>
              <w:pStyle w:val="16"/>
              <w:spacing w:line="380" w:lineRule="exact"/>
              <w:jc w:val="center"/>
              <w:rPr>
                <w:rFonts w:hAnsi="宋体" w:cs="宋体"/>
                <w:sz w:val="22"/>
                <w:szCs w:val="21"/>
                <w:lang w:val="en-US" w:eastAsia="zh-CN"/>
              </w:rPr>
            </w:pPr>
            <w:r>
              <w:rPr>
                <w:rFonts w:hint="eastAsia" w:hAnsi="宋体" w:cs="宋体"/>
                <w:sz w:val="22"/>
                <w:szCs w:val="21"/>
                <w:lang w:val="en-US" w:eastAsia="zh-CN"/>
              </w:rPr>
              <w:t>资格评审</w:t>
            </w:r>
          </w:p>
        </w:tc>
        <w:tc>
          <w:tcPr>
            <w:tcW w:w="2338" w:type="dxa"/>
            <w:gridSpan w:val="5"/>
            <w:noWrap w:val="0"/>
            <w:vAlign w:val="center"/>
          </w:tcPr>
          <w:p>
            <w:pPr>
              <w:pStyle w:val="16"/>
              <w:spacing w:line="380" w:lineRule="exact"/>
              <w:jc w:val="center"/>
              <w:rPr>
                <w:rFonts w:hint="eastAsia" w:hAnsi="宋体" w:cs="宋体"/>
                <w:sz w:val="22"/>
                <w:szCs w:val="21"/>
                <w:lang w:val="en-US" w:eastAsia="zh-CN"/>
              </w:rPr>
            </w:pPr>
            <w:r>
              <w:rPr>
                <w:rFonts w:hint="eastAsia" w:hAnsi="宋体" w:cs="宋体"/>
                <w:sz w:val="22"/>
                <w:szCs w:val="21"/>
                <w:lang w:val="en-US" w:eastAsia="zh-CN"/>
              </w:rPr>
              <w:t>响应性评审</w:t>
            </w:r>
          </w:p>
        </w:tc>
        <w:tc>
          <w:tcPr>
            <w:tcW w:w="486" w:type="dxa"/>
            <w:noWrap w:val="0"/>
            <w:vAlign w:val="center"/>
          </w:tcPr>
          <w:p>
            <w:pPr>
              <w:jc w:val="center"/>
              <w:rPr>
                <w:rFonts w:ascii="宋体" w:hAnsi="宋体" w:cs="宋体"/>
                <w:sz w:val="18"/>
                <w:szCs w:val="18"/>
              </w:rPr>
            </w:pPr>
            <w:r>
              <w:rPr>
                <w:rFonts w:hint="eastAsia" w:ascii="宋体" w:hAnsi="宋体"/>
                <w:sz w:val="18"/>
                <w:szCs w:val="18"/>
              </w:rPr>
              <w:t>符合性评审结论</w:t>
            </w:r>
          </w:p>
        </w:tc>
        <w:tc>
          <w:tcPr>
            <w:tcW w:w="529" w:type="dxa"/>
            <w:noWrap w:val="0"/>
            <w:vAlign w:val="center"/>
          </w:tcPr>
          <w:p>
            <w:pPr>
              <w:pStyle w:val="16"/>
              <w:spacing w:line="380" w:lineRule="exact"/>
              <w:jc w:val="center"/>
              <w:rPr>
                <w:rFonts w:hAnsi="宋体" w:cs="宋体"/>
                <w:sz w:val="22"/>
                <w:szCs w:val="21"/>
                <w:lang w:val="en-US" w:eastAsia="zh-CN"/>
              </w:rPr>
            </w:pPr>
            <w:r>
              <w:rPr>
                <w:rFonts w:hint="eastAsia" w:hAnsi="宋体" w:cs="宋体"/>
                <w:sz w:val="22"/>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530" w:type="dxa"/>
            <w:vMerge w:val="continue"/>
            <w:noWrap w:val="0"/>
            <w:vAlign w:val="center"/>
          </w:tcPr>
          <w:p>
            <w:pPr>
              <w:pStyle w:val="16"/>
              <w:spacing w:line="380" w:lineRule="exact"/>
              <w:jc w:val="center"/>
              <w:rPr>
                <w:rFonts w:hAnsi="宋体" w:cs="宋体"/>
                <w:sz w:val="22"/>
                <w:szCs w:val="21"/>
                <w:lang w:val="en-US" w:eastAsia="zh-CN"/>
              </w:rPr>
            </w:pPr>
          </w:p>
        </w:tc>
        <w:tc>
          <w:tcPr>
            <w:tcW w:w="493" w:type="dxa"/>
            <w:vMerge w:val="continue"/>
            <w:noWrap w:val="0"/>
            <w:vAlign w:val="center"/>
          </w:tcPr>
          <w:p>
            <w:pPr>
              <w:pStyle w:val="16"/>
              <w:spacing w:line="380" w:lineRule="exact"/>
              <w:jc w:val="center"/>
              <w:rPr>
                <w:rFonts w:hAnsi="宋体" w:cs="宋体"/>
                <w:sz w:val="22"/>
                <w:szCs w:val="21"/>
                <w:lang w:val="en-US" w:eastAsia="zh-CN"/>
              </w:rPr>
            </w:pPr>
          </w:p>
        </w:tc>
        <w:tc>
          <w:tcPr>
            <w:tcW w:w="563" w:type="dxa"/>
            <w:noWrap w:val="0"/>
            <w:vAlign w:val="center"/>
          </w:tcPr>
          <w:p>
            <w:pPr>
              <w:jc w:val="center"/>
              <w:rPr>
                <w:rFonts w:ascii="宋体" w:hAnsi="宋体" w:cs="宋体"/>
                <w:sz w:val="18"/>
                <w:szCs w:val="18"/>
              </w:rPr>
            </w:pPr>
            <w:r>
              <w:rPr>
                <w:rFonts w:hint="eastAsia" w:ascii="宋体" w:hAnsi="宋体"/>
                <w:sz w:val="18"/>
                <w:szCs w:val="18"/>
              </w:rPr>
              <w:t>投标人名称</w:t>
            </w:r>
          </w:p>
        </w:tc>
        <w:tc>
          <w:tcPr>
            <w:tcW w:w="502" w:type="dxa"/>
            <w:noWrap w:val="0"/>
            <w:vAlign w:val="center"/>
          </w:tcPr>
          <w:p>
            <w:pPr>
              <w:jc w:val="center"/>
              <w:rPr>
                <w:rFonts w:ascii="宋体" w:hAnsi="宋体" w:cs="宋体"/>
                <w:sz w:val="18"/>
                <w:szCs w:val="18"/>
              </w:rPr>
            </w:pPr>
            <w:r>
              <w:rPr>
                <w:rFonts w:hint="eastAsia" w:ascii="宋体" w:hAnsi="宋体"/>
                <w:sz w:val="18"/>
                <w:szCs w:val="18"/>
              </w:rPr>
              <w:t>投标文件签字盖章</w:t>
            </w:r>
          </w:p>
        </w:tc>
        <w:tc>
          <w:tcPr>
            <w:tcW w:w="493" w:type="dxa"/>
            <w:noWrap w:val="0"/>
            <w:vAlign w:val="center"/>
          </w:tcPr>
          <w:p>
            <w:pPr>
              <w:jc w:val="center"/>
              <w:rPr>
                <w:rFonts w:ascii="宋体" w:hAnsi="宋体" w:cs="宋体"/>
                <w:sz w:val="18"/>
                <w:szCs w:val="18"/>
              </w:rPr>
            </w:pPr>
            <w:r>
              <w:rPr>
                <w:rFonts w:hint="eastAsia" w:ascii="宋体" w:hAnsi="宋体"/>
                <w:sz w:val="18"/>
                <w:szCs w:val="18"/>
              </w:rPr>
              <w:t>报价唯一</w:t>
            </w:r>
          </w:p>
        </w:tc>
        <w:tc>
          <w:tcPr>
            <w:tcW w:w="516" w:type="dxa"/>
            <w:noWrap w:val="0"/>
            <w:vAlign w:val="center"/>
          </w:tcPr>
          <w:p>
            <w:pPr>
              <w:jc w:val="center"/>
              <w:rPr>
                <w:rFonts w:hint="eastAsia" w:ascii="宋体" w:hAnsi="宋体"/>
                <w:sz w:val="18"/>
                <w:szCs w:val="18"/>
              </w:rPr>
            </w:pPr>
            <w:r>
              <w:rPr>
                <w:rFonts w:hint="eastAsia" w:ascii="宋体" w:hAnsi="宋体"/>
                <w:sz w:val="18"/>
                <w:szCs w:val="18"/>
              </w:rPr>
              <w:t>投标文件格式</w:t>
            </w:r>
          </w:p>
        </w:tc>
        <w:tc>
          <w:tcPr>
            <w:tcW w:w="472" w:type="dxa"/>
            <w:noWrap w:val="0"/>
            <w:vAlign w:val="center"/>
          </w:tcPr>
          <w:p>
            <w:pPr>
              <w:jc w:val="center"/>
              <w:rPr>
                <w:rFonts w:ascii="宋体" w:hAnsi="宋体" w:cs="宋体"/>
                <w:sz w:val="18"/>
                <w:szCs w:val="18"/>
              </w:rPr>
            </w:pPr>
            <w:r>
              <w:rPr>
                <w:rFonts w:hint="eastAsia" w:ascii="宋体" w:hAnsi="宋体"/>
                <w:sz w:val="18"/>
                <w:szCs w:val="18"/>
              </w:rPr>
              <w:t>营业执照</w:t>
            </w:r>
          </w:p>
        </w:tc>
        <w:tc>
          <w:tcPr>
            <w:tcW w:w="462" w:type="dxa"/>
            <w:noWrap w:val="0"/>
            <w:vAlign w:val="center"/>
          </w:tcPr>
          <w:p>
            <w:pPr>
              <w:jc w:val="center"/>
              <w:rPr>
                <w:rFonts w:ascii="宋体" w:hAnsi="宋体" w:cs="宋体"/>
                <w:sz w:val="18"/>
                <w:szCs w:val="18"/>
              </w:rPr>
            </w:pPr>
            <w:r>
              <w:rPr>
                <w:rFonts w:hint="eastAsia" w:ascii="宋体" w:hAnsi="宋体"/>
                <w:sz w:val="18"/>
                <w:szCs w:val="18"/>
              </w:rPr>
              <w:t>资质等级</w:t>
            </w:r>
          </w:p>
        </w:tc>
        <w:tc>
          <w:tcPr>
            <w:tcW w:w="1045" w:type="dxa"/>
            <w:noWrap w:val="0"/>
            <w:vAlign w:val="center"/>
          </w:tcPr>
          <w:p>
            <w:pPr>
              <w:jc w:val="center"/>
              <w:rPr>
                <w:rFonts w:hint="eastAsia" w:ascii="宋体" w:hAnsi="宋体"/>
                <w:sz w:val="18"/>
                <w:szCs w:val="18"/>
              </w:rPr>
            </w:pPr>
            <w:r>
              <w:rPr>
                <w:rFonts w:hint="eastAsia" w:ascii="宋体" w:hAnsi="宋体"/>
                <w:sz w:val="18"/>
                <w:szCs w:val="18"/>
              </w:rPr>
              <w:t>安全生产许可证</w:t>
            </w:r>
          </w:p>
        </w:tc>
        <w:tc>
          <w:tcPr>
            <w:tcW w:w="1731" w:type="dxa"/>
            <w:noWrap w:val="0"/>
            <w:vAlign w:val="center"/>
          </w:tcPr>
          <w:p>
            <w:pPr>
              <w:jc w:val="center"/>
              <w:rPr>
                <w:rFonts w:hint="eastAsia" w:ascii="宋体" w:hAnsi="宋体"/>
                <w:sz w:val="18"/>
                <w:szCs w:val="18"/>
              </w:rPr>
            </w:pPr>
            <w:r>
              <w:rPr>
                <w:rFonts w:hint="eastAsia" w:ascii="宋体" w:hAnsi="宋体"/>
                <w:sz w:val="18"/>
                <w:szCs w:val="18"/>
              </w:rPr>
              <w:t>法定代表人证明书、法人授权委托证明书（如果有）、投标人代表二代身份证；</w:t>
            </w:r>
          </w:p>
        </w:tc>
        <w:tc>
          <w:tcPr>
            <w:tcW w:w="751" w:type="dxa"/>
            <w:noWrap w:val="0"/>
            <w:vAlign w:val="center"/>
          </w:tcPr>
          <w:p>
            <w:pPr>
              <w:jc w:val="center"/>
              <w:rPr>
                <w:rFonts w:hint="default" w:ascii="宋体" w:hAnsi="宋体" w:eastAsia="宋体"/>
                <w:sz w:val="18"/>
                <w:szCs w:val="18"/>
                <w:lang w:val="en-US" w:eastAsia="zh-CN"/>
              </w:rPr>
            </w:pPr>
            <w:r>
              <w:rPr>
                <w:rFonts w:hint="eastAsia"/>
                <w:sz w:val="18"/>
                <w:szCs w:val="18"/>
                <w:lang w:val="en-US" w:eastAsia="zh-CN"/>
              </w:rPr>
              <w:t>其他要求</w:t>
            </w:r>
          </w:p>
        </w:tc>
        <w:tc>
          <w:tcPr>
            <w:tcW w:w="2739" w:type="dxa"/>
            <w:noWrap w:val="0"/>
            <w:vAlign w:val="center"/>
          </w:tcPr>
          <w:p>
            <w:pPr>
              <w:jc w:val="center"/>
              <w:rPr>
                <w:rFonts w:hint="eastAsia" w:ascii="宋体" w:hAnsi="宋体" w:eastAsia="宋体" w:cs="Times New Roman"/>
                <w:sz w:val="18"/>
                <w:szCs w:val="18"/>
              </w:rPr>
            </w:pPr>
            <w:r>
              <w:rPr>
                <w:rFonts w:hint="eastAsia" w:ascii="宋体" w:hAnsi="宋体"/>
                <w:sz w:val="18"/>
                <w:szCs w:val="18"/>
              </w:rPr>
              <w:t>投标保证金转账或电汇单原件(如采用网上银行转账的，需打印电子回单)，或投标保函原件，或投标保证保险原件</w:t>
            </w:r>
          </w:p>
        </w:tc>
        <w:tc>
          <w:tcPr>
            <w:tcW w:w="1407" w:type="dxa"/>
            <w:noWrap w:val="0"/>
            <w:vAlign w:val="center"/>
          </w:tcPr>
          <w:p>
            <w:pPr>
              <w:jc w:val="center"/>
              <w:rPr>
                <w:rFonts w:ascii="宋体" w:hAnsi="宋体" w:cs="宋体"/>
                <w:sz w:val="18"/>
                <w:szCs w:val="18"/>
              </w:rPr>
            </w:pPr>
            <w:r>
              <w:rPr>
                <w:rFonts w:hint="eastAsia" w:ascii="宋体" w:hAnsi="宋体"/>
                <w:sz w:val="18"/>
                <w:szCs w:val="18"/>
              </w:rPr>
              <w:t>“中国执行信息公开网”网页截图</w:t>
            </w:r>
          </w:p>
        </w:tc>
        <w:tc>
          <w:tcPr>
            <w:tcW w:w="461" w:type="dxa"/>
            <w:noWrap w:val="0"/>
            <w:vAlign w:val="center"/>
          </w:tcPr>
          <w:p>
            <w:pPr>
              <w:jc w:val="center"/>
              <w:rPr>
                <w:rFonts w:ascii="宋体" w:hAnsi="宋体" w:cs="宋体"/>
                <w:sz w:val="18"/>
                <w:szCs w:val="18"/>
              </w:rPr>
            </w:pPr>
            <w:r>
              <w:rPr>
                <w:rFonts w:hint="eastAsia" w:ascii="宋体" w:hAnsi="宋体"/>
                <w:sz w:val="18"/>
                <w:szCs w:val="18"/>
              </w:rPr>
              <w:t>工期</w:t>
            </w:r>
          </w:p>
        </w:tc>
        <w:tc>
          <w:tcPr>
            <w:tcW w:w="423" w:type="dxa"/>
            <w:noWrap w:val="0"/>
            <w:vAlign w:val="center"/>
          </w:tcPr>
          <w:p>
            <w:pPr>
              <w:jc w:val="center"/>
              <w:rPr>
                <w:rFonts w:ascii="宋体" w:hAnsi="宋体" w:cs="宋体"/>
                <w:sz w:val="18"/>
                <w:szCs w:val="18"/>
              </w:rPr>
            </w:pPr>
            <w:r>
              <w:rPr>
                <w:rFonts w:hint="eastAsia" w:ascii="宋体" w:hAnsi="宋体"/>
                <w:sz w:val="18"/>
                <w:szCs w:val="18"/>
              </w:rPr>
              <w:t>质量标准</w:t>
            </w:r>
          </w:p>
        </w:tc>
        <w:tc>
          <w:tcPr>
            <w:tcW w:w="451" w:type="dxa"/>
            <w:noWrap w:val="0"/>
            <w:vAlign w:val="center"/>
          </w:tcPr>
          <w:p>
            <w:pPr>
              <w:jc w:val="center"/>
              <w:rPr>
                <w:rFonts w:ascii="宋体" w:hAnsi="宋体" w:cs="宋体"/>
                <w:sz w:val="18"/>
                <w:szCs w:val="18"/>
              </w:rPr>
            </w:pPr>
            <w:r>
              <w:rPr>
                <w:rFonts w:hint="eastAsia" w:ascii="宋体" w:hAnsi="宋体"/>
                <w:sz w:val="18"/>
                <w:szCs w:val="18"/>
              </w:rPr>
              <w:t>投标有效期</w:t>
            </w:r>
          </w:p>
        </w:tc>
        <w:tc>
          <w:tcPr>
            <w:tcW w:w="533" w:type="dxa"/>
            <w:noWrap w:val="0"/>
            <w:vAlign w:val="center"/>
          </w:tcPr>
          <w:p>
            <w:pPr>
              <w:jc w:val="center"/>
              <w:rPr>
                <w:rFonts w:ascii="宋体" w:hAnsi="宋体" w:cs="宋体"/>
                <w:sz w:val="18"/>
                <w:szCs w:val="18"/>
              </w:rPr>
            </w:pPr>
            <w:r>
              <w:rPr>
                <w:rFonts w:hint="eastAsia" w:ascii="宋体" w:hAnsi="宋体"/>
                <w:sz w:val="18"/>
                <w:szCs w:val="18"/>
              </w:rPr>
              <w:t>投标保证金</w:t>
            </w:r>
          </w:p>
        </w:tc>
        <w:tc>
          <w:tcPr>
            <w:tcW w:w="470" w:type="dxa"/>
            <w:noWrap w:val="0"/>
            <w:vAlign w:val="center"/>
          </w:tcPr>
          <w:p>
            <w:pPr>
              <w:jc w:val="center"/>
              <w:rPr>
                <w:rFonts w:ascii="宋体" w:hAnsi="宋体" w:cs="宋体"/>
                <w:b/>
                <w:bCs/>
                <w:sz w:val="18"/>
                <w:szCs w:val="18"/>
              </w:rPr>
            </w:pPr>
            <w:r>
              <w:rPr>
                <w:rFonts w:hint="eastAsia" w:ascii="宋体" w:hAnsi="宋体"/>
                <w:sz w:val="18"/>
                <w:szCs w:val="18"/>
              </w:rPr>
              <w:t>投标报价</w:t>
            </w:r>
          </w:p>
        </w:tc>
        <w:tc>
          <w:tcPr>
            <w:tcW w:w="486" w:type="dxa"/>
            <w:noWrap w:val="0"/>
            <w:vAlign w:val="center"/>
          </w:tcPr>
          <w:p>
            <w:pPr>
              <w:jc w:val="center"/>
              <w:rPr>
                <w:rFonts w:hAnsi="宋体" w:cs="宋体"/>
                <w:szCs w:val="21"/>
              </w:rPr>
            </w:pPr>
            <w:r>
              <w:rPr>
                <w:rFonts w:hint="eastAsia" w:ascii="宋体" w:hAnsi="宋体"/>
                <w:sz w:val="18"/>
                <w:szCs w:val="18"/>
              </w:rPr>
              <w:t>是否合格</w:t>
            </w:r>
          </w:p>
        </w:tc>
        <w:tc>
          <w:tcPr>
            <w:tcW w:w="529" w:type="dxa"/>
            <w:noWrap w:val="0"/>
            <w:vAlign w:val="center"/>
          </w:tcPr>
          <w:p>
            <w:pPr>
              <w:pStyle w:val="16"/>
              <w:spacing w:line="380" w:lineRule="exact"/>
              <w:jc w:val="center"/>
              <w:rPr>
                <w:rFonts w:hAnsi="宋体" w:cs="宋体"/>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0" w:type="dxa"/>
            <w:noWrap w:val="0"/>
            <w:vAlign w:val="center"/>
          </w:tcPr>
          <w:p>
            <w:pPr>
              <w:pStyle w:val="16"/>
              <w:spacing w:line="380" w:lineRule="exact"/>
              <w:jc w:val="center"/>
              <w:rPr>
                <w:rFonts w:hAnsi="宋体" w:cs="宋体"/>
                <w:sz w:val="22"/>
                <w:szCs w:val="21"/>
                <w:lang w:val="en-US" w:eastAsia="zh-CN"/>
              </w:rPr>
            </w:pPr>
            <w:r>
              <w:rPr>
                <w:rFonts w:hint="eastAsia" w:hAnsi="宋体" w:cs="宋体"/>
                <w:sz w:val="22"/>
                <w:szCs w:val="21"/>
                <w:lang w:val="en-US" w:eastAsia="zh-CN"/>
              </w:rPr>
              <w:t>1</w:t>
            </w:r>
          </w:p>
        </w:tc>
        <w:tc>
          <w:tcPr>
            <w:tcW w:w="493" w:type="dxa"/>
            <w:noWrap w:val="0"/>
            <w:vAlign w:val="center"/>
          </w:tcPr>
          <w:p>
            <w:pPr>
              <w:pStyle w:val="16"/>
              <w:spacing w:line="380" w:lineRule="exact"/>
              <w:jc w:val="center"/>
              <w:rPr>
                <w:rFonts w:hAnsi="宋体" w:cs="宋体"/>
                <w:sz w:val="22"/>
                <w:szCs w:val="21"/>
                <w:lang w:val="en-US" w:eastAsia="zh-CN"/>
              </w:rPr>
            </w:pPr>
          </w:p>
        </w:tc>
        <w:tc>
          <w:tcPr>
            <w:tcW w:w="563" w:type="dxa"/>
            <w:noWrap w:val="0"/>
            <w:vAlign w:val="center"/>
          </w:tcPr>
          <w:p>
            <w:pPr>
              <w:pStyle w:val="16"/>
              <w:spacing w:line="380" w:lineRule="exact"/>
              <w:jc w:val="center"/>
              <w:rPr>
                <w:rFonts w:hAnsi="宋体" w:cs="宋体"/>
                <w:sz w:val="22"/>
                <w:szCs w:val="21"/>
                <w:lang w:val="en-US" w:eastAsia="zh-CN"/>
              </w:rPr>
            </w:pPr>
          </w:p>
        </w:tc>
        <w:tc>
          <w:tcPr>
            <w:tcW w:w="502" w:type="dxa"/>
            <w:noWrap w:val="0"/>
            <w:vAlign w:val="center"/>
          </w:tcPr>
          <w:p>
            <w:pPr>
              <w:pStyle w:val="16"/>
              <w:spacing w:line="380" w:lineRule="exact"/>
              <w:jc w:val="center"/>
              <w:rPr>
                <w:rFonts w:hAnsi="宋体" w:cs="宋体"/>
                <w:sz w:val="22"/>
                <w:szCs w:val="21"/>
                <w:lang w:val="en-US" w:eastAsia="zh-CN"/>
              </w:rPr>
            </w:pPr>
          </w:p>
        </w:tc>
        <w:tc>
          <w:tcPr>
            <w:tcW w:w="493" w:type="dxa"/>
            <w:noWrap w:val="0"/>
            <w:vAlign w:val="center"/>
          </w:tcPr>
          <w:p>
            <w:pPr>
              <w:pStyle w:val="16"/>
              <w:spacing w:line="380" w:lineRule="exact"/>
              <w:jc w:val="center"/>
              <w:rPr>
                <w:rFonts w:hAnsi="宋体" w:cs="宋体"/>
                <w:sz w:val="22"/>
                <w:szCs w:val="21"/>
                <w:lang w:val="en-US" w:eastAsia="zh-CN"/>
              </w:rPr>
            </w:pPr>
          </w:p>
        </w:tc>
        <w:tc>
          <w:tcPr>
            <w:tcW w:w="516" w:type="dxa"/>
            <w:noWrap w:val="0"/>
            <w:vAlign w:val="center"/>
          </w:tcPr>
          <w:p>
            <w:pPr>
              <w:pStyle w:val="16"/>
              <w:spacing w:line="380" w:lineRule="exact"/>
              <w:jc w:val="center"/>
              <w:rPr>
                <w:rFonts w:hAnsi="宋体" w:cs="宋体"/>
                <w:sz w:val="22"/>
                <w:szCs w:val="21"/>
                <w:lang w:val="en-US" w:eastAsia="zh-CN"/>
              </w:rPr>
            </w:pPr>
          </w:p>
        </w:tc>
        <w:tc>
          <w:tcPr>
            <w:tcW w:w="472" w:type="dxa"/>
            <w:noWrap w:val="0"/>
            <w:vAlign w:val="center"/>
          </w:tcPr>
          <w:p>
            <w:pPr>
              <w:pStyle w:val="16"/>
              <w:spacing w:line="380" w:lineRule="exact"/>
              <w:jc w:val="center"/>
              <w:rPr>
                <w:rFonts w:hAnsi="宋体" w:cs="宋体"/>
                <w:sz w:val="22"/>
                <w:szCs w:val="21"/>
                <w:lang w:val="en-US" w:eastAsia="zh-CN"/>
              </w:rPr>
            </w:pPr>
          </w:p>
        </w:tc>
        <w:tc>
          <w:tcPr>
            <w:tcW w:w="462" w:type="dxa"/>
            <w:noWrap w:val="0"/>
            <w:vAlign w:val="center"/>
          </w:tcPr>
          <w:p>
            <w:pPr>
              <w:pStyle w:val="16"/>
              <w:spacing w:line="380" w:lineRule="exact"/>
              <w:jc w:val="center"/>
              <w:rPr>
                <w:rFonts w:hAnsi="宋体" w:cs="宋体"/>
                <w:sz w:val="22"/>
                <w:szCs w:val="21"/>
                <w:lang w:val="en-US" w:eastAsia="zh-CN"/>
              </w:rPr>
            </w:pPr>
          </w:p>
        </w:tc>
        <w:tc>
          <w:tcPr>
            <w:tcW w:w="1045" w:type="dxa"/>
            <w:noWrap w:val="0"/>
            <w:vAlign w:val="center"/>
          </w:tcPr>
          <w:p>
            <w:pPr>
              <w:pStyle w:val="16"/>
              <w:spacing w:line="380" w:lineRule="exact"/>
              <w:jc w:val="center"/>
              <w:rPr>
                <w:rFonts w:hAnsi="宋体" w:cs="宋体"/>
                <w:sz w:val="22"/>
                <w:szCs w:val="21"/>
                <w:lang w:val="en-US" w:eastAsia="zh-CN"/>
              </w:rPr>
            </w:pPr>
          </w:p>
        </w:tc>
        <w:tc>
          <w:tcPr>
            <w:tcW w:w="1731" w:type="dxa"/>
            <w:noWrap w:val="0"/>
            <w:vAlign w:val="center"/>
          </w:tcPr>
          <w:p>
            <w:pPr>
              <w:pStyle w:val="16"/>
              <w:spacing w:line="380" w:lineRule="exact"/>
              <w:jc w:val="center"/>
              <w:rPr>
                <w:rFonts w:hAnsi="宋体" w:cs="宋体"/>
                <w:sz w:val="22"/>
                <w:szCs w:val="21"/>
                <w:lang w:val="en-US" w:eastAsia="zh-CN"/>
              </w:rPr>
            </w:pPr>
          </w:p>
        </w:tc>
        <w:tc>
          <w:tcPr>
            <w:tcW w:w="751" w:type="dxa"/>
            <w:noWrap w:val="0"/>
            <w:vAlign w:val="center"/>
          </w:tcPr>
          <w:p>
            <w:pPr>
              <w:pStyle w:val="16"/>
              <w:spacing w:line="380" w:lineRule="exact"/>
              <w:jc w:val="center"/>
              <w:rPr>
                <w:rFonts w:hAnsi="宋体" w:cs="宋体"/>
                <w:sz w:val="22"/>
                <w:szCs w:val="21"/>
                <w:lang w:val="en-US" w:eastAsia="zh-CN"/>
              </w:rPr>
            </w:pPr>
          </w:p>
        </w:tc>
        <w:tc>
          <w:tcPr>
            <w:tcW w:w="2739" w:type="dxa"/>
            <w:noWrap w:val="0"/>
            <w:vAlign w:val="center"/>
          </w:tcPr>
          <w:p>
            <w:pPr>
              <w:pStyle w:val="16"/>
              <w:spacing w:line="380" w:lineRule="exact"/>
              <w:jc w:val="center"/>
              <w:rPr>
                <w:rFonts w:hAnsi="宋体" w:cs="宋体"/>
                <w:sz w:val="22"/>
                <w:szCs w:val="21"/>
                <w:lang w:val="en-US" w:eastAsia="zh-CN"/>
              </w:rPr>
            </w:pPr>
          </w:p>
        </w:tc>
        <w:tc>
          <w:tcPr>
            <w:tcW w:w="1407" w:type="dxa"/>
            <w:noWrap w:val="0"/>
            <w:vAlign w:val="center"/>
          </w:tcPr>
          <w:p>
            <w:pPr>
              <w:pStyle w:val="16"/>
              <w:spacing w:line="380" w:lineRule="exact"/>
              <w:jc w:val="center"/>
              <w:rPr>
                <w:rFonts w:hAnsi="宋体" w:cs="宋体"/>
                <w:sz w:val="22"/>
                <w:szCs w:val="21"/>
                <w:lang w:val="en-US" w:eastAsia="zh-CN"/>
              </w:rPr>
            </w:pPr>
          </w:p>
        </w:tc>
        <w:tc>
          <w:tcPr>
            <w:tcW w:w="461" w:type="dxa"/>
            <w:noWrap w:val="0"/>
            <w:vAlign w:val="center"/>
          </w:tcPr>
          <w:p>
            <w:pPr>
              <w:pStyle w:val="16"/>
              <w:spacing w:line="380" w:lineRule="exact"/>
              <w:jc w:val="center"/>
              <w:rPr>
                <w:rFonts w:hAnsi="宋体" w:cs="宋体"/>
                <w:sz w:val="22"/>
                <w:szCs w:val="21"/>
                <w:lang w:val="en-US" w:eastAsia="zh-CN"/>
              </w:rPr>
            </w:pPr>
          </w:p>
        </w:tc>
        <w:tc>
          <w:tcPr>
            <w:tcW w:w="423" w:type="dxa"/>
            <w:noWrap w:val="0"/>
            <w:vAlign w:val="center"/>
          </w:tcPr>
          <w:p>
            <w:pPr>
              <w:pStyle w:val="16"/>
              <w:spacing w:line="380" w:lineRule="exact"/>
              <w:jc w:val="center"/>
              <w:rPr>
                <w:rFonts w:hAnsi="宋体" w:cs="宋体"/>
                <w:sz w:val="22"/>
                <w:szCs w:val="21"/>
                <w:lang w:val="en-US" w:eastAsia="zh-CN"/>
              </w:rPr>
            </w:pPr>
          </w:p>
        </w:tc>
        <w:tc>
          <w:tcPr>
            <w:tcW w:w="451" w:type="dxa"/>
            <w:noWrap w:val="0"/>
            <w:vAlign w:val="center"/>
          </w:tcPr>
          <w:p>
            <w:pPr>
              <w:pStyle w:val="16"/>
              <w:spacing w:line="380" w:lineRule="exact"/>
              <w:jc w:val="center"/>
              <w:rPr>
                <w:rFonts w:hAnsi="宋体" w:cs="宋体"/>
                <w:sz w:val="22"/>
                <w:szCs w:val="21"/>
                <w:lang w:val="en-US" w:eastAsia="zh-CN"/>
              </w:rPr>
            </w:pPr>
          </w:p>
        </w:tc>
        <w:tc>
          <w:tcPr>
            <w:tcW w:w="533" w:type="dxa"/>
            <w:noWrap w:val="0"/>
            <w:vAlign w:val="center"/>
          </w:tcPr>
          <w:p>
            <w:pPr>
              <w:pStyle w:val="16"/>
              <w:spacing w:line="380" w:lineRule="exact"/>
              <w:jc w:val="center"/>
              <w:rPr>
                <w:rFonts w:hAnsi="宋体" w:cs="宋体"/>
                <w:sz w:val="22"/>
                <w:szCs w:val="21"/>
                <w:lang w:val="en-US" w:eastAsia="zh-CN"/>
              </w:rPr>
            </w:pPr>
          </w:p>
        </w:tc>
        <w:tc>
          <w:tcPr>
            <w:tcW w:w="470" w:type="dxa"/>
            <w:noWrap w:val="0"/>
            <w:vAlign w:val="center"/>
          </w:tcPr>
          <w:p>
            <w:pPr>
              <w:pStyle w:val="16"/>
              <w:spacing w:line="380" w:lineRule="exact"/>
              <w:jc w:val="center"/>
              <w:rPr>
                <w:rFonts w:hAnsi="宋体" w:cs="宋体"/>
                <w:sz w:val="22"/>
                <w:szCs w:val="21"/>
                <w:lang w:val="en-US" w:eastAsia="zh-CN"/>
              </w:rPr>
            </w:pPr>
          </w:p>
        </w:tc>
        <w:tc>
          <w:tcPr>
            <w:tcW w:w="486" w:type="dxa"/>
            <w:noWrap w:val="0"/>
            <w:vAlign w:val="center"/>
          </w:tcPr>
          <w:p>
            <w:pPr>
              <w:pStyle w:val="16"/>
              <w:spacing w:line="380" w:lineRule="exact"/>
              <w:jc w:val="center"/>
              <w:rPr>
                <w:rFonts w:hAnsi="宋体" w:cs="宋体"/>
                <w:sz w:val="22"/>
                <w:szCs w:val="21"/>
                <w:lang w:val="en-US" w:eastAsia="zh-CN"/>
              </w:rPr>
            </w:pPr>
          </w:p>
        </w:tc>
        <w:tc>
          <w:tcPr>
            <w:tcW w:w="529" w:type="dxa"/>
            <w:noWrap w:val="0"/>
            <w:vAlign w:val="center"/>
          </w:tcPr>
          <w:p>
            <w:pPr>
              <w:pStyle w:val="16"/>
              <w:spacing w:line="380" w:lineRule="exact"/>
              <w:jc w:val="center"/>
              <w:rPr>
                <w:rFonts w:hAnsi="宋体" w:cs="宋体"/>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0" w:type="dxa"/>
            <w:noWrap w:val="0"/>
            <w:vAlign w:val="center"/>
          </w:tcPr>
          <w:p>
            <w:pPr>
              <w:pStyle w:val="16"/>
              <w:spacing w:line="380" w:lineRule="exact"/>
              <w:jc w:val="center"/>
              <w:rPr>
                <w:rFonts w:hAnsi="宋体" w:cs="宋体"/>
                <w:sz w:val="22"/>
                <w:szCs w:val="21"/>
                <w:lang w:val="en-US" w:eastAsia="zh-CN"/>
              </w:rPr>
            </w:pPr>
            <w:r>
              <w:rPr>
                <w:rFonts w:hint="eastAsia" w:hAnsi="宋体" w:cs="宋体"/>
                <w:sz w:val="22"/>
                <w:szCs w:val="21"/>
                <w:lang w:val="en-US" w:eastAsia="zh-CN"/>
              </w:rPr>
              <w:t>2</w:t>
            </w:r>
          </w:p>
        </w:tc>
        <w:tc>
          <w:tcPr>
            <w:tcW w:w="493" w:type="dxa"/>
            <w:noWrap w:val="0"/>
            <w:vAlign w:val="center"/>
          </w:tcPr>
          <w:p>
            <w:pPr>
              <w:pStyle w:val="16"/>
              <w:spacing w:line="380" w:lineRule="exact"/>
              <w:jc w:val="center"/>
              <w:rPr>
                <w:rFonts w:hAnsi="宋体" w:cs="宋体"/>
                <w:sz w:val="22"/>
                <w:szCs w:val="21"/>
                <w:lang w:val="en-US" w:eastAsia="zh-CN"/>
              </w:rPr>
            </w:pPr>
          </w:p>
        </w:tc>
        <w:tc>
          <w:tcPr>
            <w:tcW w:w="563" w:type="dxa"/>
            <w:noWrap w:val="0"/>
            <w:vAlign w:val="center"/>
          </w:tcPr>
          <w:p>
            <w:pPr>
              <w:pStyle w:val="16"/>
              <w:spacing w:line="380" w:lineRule="exact"/>
              <w:jc w:val="center"/>
              <w:rPr>
                <w:rFonts w:hAnsi="宋体" w:cs="宋体"/>
                <w:sz w:val="22"/>
                <w:szCs w:val="21"/>
                <w:lang w:val="en-US" w:eastAsia="zh-CN"/>
              </w:rPr>
            </w:pPr>
          </w:p>
        </w:tc>
        <w:tc>
          <w:tcPr>
            <w:tcW w:w="502" w:type="dxa"/>
            <w:noWrap w:val="0"/>
            <w:vAlign w:val="center"/>
          </w:tcPr>
          <w:p>
            <w:pPr>
              <w:pStyle w:val="16"/>
              <w:spacing w:line="380" w:lineRule="exact"/>
              <w:jc w:val="center"/>
              <w:rPr>
                <w:rFonts w:hAnsi="宋体" w:cs="宋体"/>
                <w:sz w:val="22"/>
                <w:szCs w:val="21"/>
                <w:lang w:val="en-US" w:eastAsia="zh-CN"/>
              </w:rPr>
            </w:pPr>
          </w:p>
        </w:tc>
        <w:tc>
          <w:tcPr>
            <w:tcW w:w="493" w:type="dxa"/>
            <w:noWrap w:val="0"/>
            <w:vAlign w:val="center"/>
          </w:tcPr>
          <w:p>
            <w:pPr>
              <w:pStyle w:val="16"/>
              <w:spacing w:line="380" w:lineRule="exact"/>
              <w:jc w:val="center"/>
              <w:rPr>
                <w:rFonts w:hAnsi="宋体" w:cs="宋体"/>
                <w:sz w:val="22"/>
                <w:szCs w:val="21"/>
                <w:lang w:val="en-US" w:eastAsia="zh-CN"/>
              </w:rPr>
            </w:pPr>
          </w:p>
        </w:tc>
        <w:tc>
          <w:tcPr>
            <w:tcW w:w="516" w:type="dxa"/>
            <w:noWrap w:val="0"/>
            <w:vAlign w:val="center"/>
          </w:tcPr>
          <w:p>
            <w:pPr>
              <w:pStyle w:val="16"/>
              <w:spacing w:line="380" w:lineRule="exact"/>
              <w:jc w:val="center"/>
              <w:rPr>
                <w:rFonts w:hAnsi="宋体" w:cs="宋体"/>
                <w:sz w:val="22"/>
                <w:szCs w:val="21"/>
                <w:lang w:val="en-US" w:eastAsia="zh-CN"/>
              </w:rPr>
            </w:pPr>
          </w:p>
        </w:tc>
        <w:tc>
          <w:tcPr>
            <w:tcW w:w="472" w:type="dxa"/>
            <w:noWrap w:val="0"/>
            <w:vAlign w:val="center"/>
          </w:tcPr>
          <w:p>
            <w:pPr>
              <w:pStyle w:val="16"/>
              <w:spacing w:line="380" w:lineRule="exact"/>
              <w:jc w:val="center"/>
              <w:rPr>
                <w:rFonts w:hAnsi="宋体" w:cs="宋体"/>
                <w:sz w:val="22"/>
                <w:szCs w:val="21"/>
                <w:lang w:val="en-US" w:eastAsia="zh-CN"/>
              </w:rPr>
            </w:pPr>
          </w:p>
        </w:tc>
        <w:tc>
          <w:tcPr>
            <w:tcW w:w="462" w:type="dxa"/>
            <w:noWrap w:val="0"/>
            <w:vAlign w:val="center"/>
          </w:tcPr>
          <w:p>
            <w:pPr>
              <w:pStyle w:val="16"/>
              <w:spacing w:line="380" w:lineRule="exact"/>
              <w:jc w:val="center"/>
              <w:rPr>
                <w:rFonts w:hAnsi="宋体" w:cs="宋体"/>
                <w:sz w:val="22"/>
                <w:szCs w:val="21"/>
                <w:lang w:val="en-US" w:eastAsia="zh-CN"/>
              </w:rPr>
            </w:pPr>
          </w:p>
        </w:tc>
        <w:tc>
          <w:tcPr>
            <w:tcW w:w="1045" w:type="dxa"/>
            <w:noWrap w:val="0"/>
            <w:vAlign w:val="center"/>
          </w:tcPr>
          <w:p>
            <w:pPr>
              <w:pStyle w:val="16"/>
              <w:spacing w:line="380" w:lineRule="exact"/>
              <w:jc w:val="center"/>
              <w:rPr>
                <w:rFonts w:hAnsi="宋体" w:cs="宋体"/>
                <w:sz w:val="22"/>
                <w:szCs w:val="21"/>
                <w:lang w:val="en-US" w:eastAsia="zh-CN"/>
              </w:rPr>
            </w:pPr>
          </w:p>
        </w:tc>
        <w:tc>
          <w:tcPr>
            <w:tcW w:w="1731" w:type="dxa"/>
            <w:noWrap w:val="0"/>
            <w:vAlign w:val="center"/>
          </w:tcPr>
          <w:p>
            <w:pPr>
              <w:pStyle w:val="16"/>
              <w:spacing w:line="380" w:lineRule="exact"/>
              <w:jc w:val="center"/>
              <w:rPr>
                <w:rFonts w:hAnsi="宋体" w:cs="宋体"/>
                <w:sz w:val="22"/>
                <w:szCs w:val="21"/>
                <w:lang w:val="en-US" w:eastAsia="zh-CN"/>
              </w:rPr>
            </w:pPr>
          </w:p>
        </w:tc>
        <w:tc>
          <w:tcPr>
            <w:tcW w:w="751" w:type="dxa"/>
            <w:noWrap w:val="0"/>
            <w:vAlign w:val="center"/>
          </w:tcPr>
          <w:p>
            <w:pPr>
              <w:pStyle w:val="16"/>
              <w:spacing w:line="380" w:lineRule="exact"/>
              <w:jc w:val="center"/>
              <w:rPr>
                <w:rFonts w:hAnsi="宋体" w:cs="宋体"/>
                <w:sz w:val="22"/>
                <w:szCs w:val="21"/>
                <w:lang w:val="en-US" w:eastAsia="zh-CN"/>
              </w:rPr>
            </w:pPr>
          </w:p>
        </w:tc>
        <w:tc>
          <w:tcPr>
            <w:tcW w:w="2739" w:type="dxa"/>
            <w:noWrap w:val="0"/>
            <w:vAlign w:val="center"/>
          </w:tcPr>
          <w:p>
            <w:pPr>
              <w:pStyle w:val="16"/>
              <w:spacing w:line="380" w:lineRule="exact"/>
              <w:jc w:val="center"/>
              <w:rPr>
                <w:rFonts w:hAnsi="宋体" w:cs="宋体"/>
                <w:sz w:val="22"/>
                <w:szCs w:val="21"/>
                <w:lang w:val="en-US" w:eastAsia="zh-CN"/>
              </w:rPr>
            </w:pPr>
          </w:p>
        </w:tc>
        <w:tc>
          <w:tcPr>
            <w:tcW w:w="1407" w:type="dxa"/>
            <w:noWrap w:val="0"/>
            <w:vAlign w:val="center"/>
          </w:tcPr>
          <w:p>
            <w:pPr>
              <w:pStyle w:val="16"/>
              <w:spacing w:line="380" w:lineRule="exact"/>
              <w:jc w:val="center"/>
              <w:rPr>
                <w:rFonts w:hAnsi="宋体" w:cs="宋体"/>
                <w:sz w:val="22"/>
                <w:szCs w:val="21"/>
                <w:lang w:val="en-US" w:eastAsia="zh-CN"/>
              </w:rPr>
            </w:pPr>
          </w:p>
        </w:tc>
        <w:tc>
          <w:tcPr>
            <w:tcW w:w="461" w:type="dxa"/>
            <w:noWrap w:val="0"/>
            <w:vAlign w:val="center"/>
          </w:tcPr>
          <w:p>
            <w:pPr>
              <w:pStyle w:val="16"/>
              <w:spacing w:line="380" w:lineRule="exact"/>
              <w:jc w:val="center"/>
              <w:rPr>
                <w:rFonts w:hAnsi="宋体" w:cs="宋体"/>
                <w:sz w:val="22"/>
                <w:szCs w:val="21"/>
                <w:lang w:val="en-US" w:eastAsia="zh-CN"/>
              </w:rPr>
            </w:pPr>
          </w:p>
        </w:tc>
        <w:tc>
          <w:tcPr>
            <w:tcW w:w="423" w:type="dxa"/>
            <w:noWrap w:val="0"/>
            <w:vAlign w:val="center"/>
          </w:tcPr>
          <w:p>
            <w:pPr>
              <w:pStyle w:val="16"/>
              <w:spacing w:line="380" w:lineRule="exact"/>
              <w:jc w:val="center"/>
              <w:rPr>
                <w:rFonts w:hAnsi="宋体" w:cs="宋体"/>
                <w:sz w:val="22"/>
                <w:szCs w:val="21"/>
                <w:lang w:val="en-US" w:eastAsia="zh-CN"/>
              </w:rPr>
            </w:pPr>
          </w:p>
        </w:tc>
        <w:tc>
          <w:tcPr>
            <w:tcW w:w="451" w:type="dxa"/>
            <w:noWrap w:val="0"/>
            <w:vAlign w:val="center"/>
          </w:tcPr>
          <w:p>
            <w:pPr>
              <w:pStyle w:val="16"/>
              <w:spacing w:line="380" w:lineRule="exact"/>
              <w:jc w:val="center"/>
              <w:rPr>
                <w:rFonts w:hAnsi="宋体" w:cs="宋体"/>
                <w:sz w:val="22"/>
                <w:szCs w:val="21"/>
                <w:lang w:val="en-US" w:eastAsia="zh-CN"/>
              </w:rPr>
            </w:pPr>
          </w:p>
        </w:tc>
        <w:tc>
          <w:tcPr>
            <w:tcW w:w="533" w:type="dxa"/>
            <w:noWrap w:val="0"/>
            <w:vAlign w:val="center"/>
          </w:tcPr>
          <w:p>
            <w:pPr>
              <w:pStyle w:val="16"/>
              <w:spacing w:line="380" w:lineRule="exact"/>
              <w:jc w:val="center"/>
              <w:rPr>
                <w:rFonts w:hAnsi="宋体" w:cs="宋体"/>
                <w:sz w:val="22"/>
                <w:szCs w:val="21"/>
                <w:lang w:val="en-US" w:eastAsia="zh-CN"/>
              </w:rPr>
            </w:pPr>
          </w:p>
        </w:tc>
        <w:tc>
          <w:tcPr>
            <w:tcW w:w="470" w:type="dxa"/>
            <w:noWrap w:val="0"/>
            <w:vAlign w:val="center"/>
          </w:tcPr>
          <w:p>
            <w:pPr>
              <w:pStyle w:val="16"/>
              <w:spacing w:line="380" w:lineRule="exact"/>
              <w:jc w:val="center"/>
              <w:rPr>
                <w:rFonts w:hAnsi="宋体" w:cs="宋体"/>
                <w:sz w:val="22"/>
                <w:szCs w:val="21"/>
                <w:lang w:val="en-US" w:eastAsia="zh-CN"/>
              </w:rPr>
            </w:pPr>
          </w:p>
        </w:tc>
        <w:tc>
          <w:tcPr>
            <w:tcW w:w="486" w:type="dxa"/>
            <w:noWrap w:val="0"/>
            <w:vAlign w:val="center"/>
          </w:tcPr>
          <w:p>
            <w:pPr>
              <w:pStyle w:val="16"/>
              <w:spacing w:line="380" w:lineRule="exact"/>
              <w:jc w:val="center"/>
              <w:rPr>
                <w:rFonts w:hAnsi="宋体" w:cs="宋体"/>
                <w:sz w:val="22"/>
                <w:szCs w:val="21"/>
                <w:lang w:val="en-US" w:eastAsia="zh-CN"/>
              </w:rPr>
            </w:pPr>
          </w:p>
        </w:tc>
        <w:tc>
          <w:tcPr>
            <w:tcW w:w="529" w:type="dxa"/>
            <w:noWrap w:val="0"/>
            <w:vAlign w:val="center"/>
          </w:tcPr>
          <w:p>
            <w:pPr>
              <w:pStyle w:val="16"/>
              <w:spacing w:line="380" w:lineRule="exact"/>
              <w:jc w:val="center"/>
              <w:rPr>
                <w:rFonts w:hAnsi="宋体" w:cs="宋体"/>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0" w:type="dxa"/>
            <w:noWrap w:val="0"/>
            <w:vAlign w:val="center"/>
          </w:tcPr>
          <w:p>
            <w:pPr>
              <w:pStyle w:val="16"/>
              <w:spacing w:line="380" w:lineRule="exact"/>
              <w:jc w:val="center"/>
              <w:rPr>
                <w:rFonts w:hAnsi="宋体" w:cs="宋体"/>
                <w:sz w:val="22"/>
                <w:szCs w:val="21"/>
                <w:lang w:val="en-US" w:eastAsia="zh-CN"/>
              </w:rPr>
            </w:pPr>
            <w:r>
              <w:rPr>
                <w:rFonts w:hint="eastAsia" w:hAnsi="宋体" w:cs="宋体"/>
                <w:sz w:val="22"/>
                <w:szCs w:val="21"/>
                <w:lang w:val="en-US" w:eastAsia="zh-CN"/>
              </w:rPr>
              <w:t>3</w:t>
            </w:r>
          </w:p>
        </w:tc>
        <w:tc>
          <w:tcPr>
            <w:tcW w:w="493" w:type="dxa"/>
            <w:noWrap w:val="0"/>
            <w:vAlign w:val="center"/>
          </w:tcPr>
          <w:p>
            <w:pPr>
              <w:pStyle w:val="16"/>
              <w:spacing w:line="380" w:lineRule="exact"/>
              <w:jc w:val="center"/>
              <w:rPr>
                <w:rFonts w:hAnsi="宋体" w:cs="宋体"/>
                <w:sz w:val="22"/>
                <w:szCs w:val="21"/>
                <w:lang w:val="en-US" w:eastAsia="zh-CN"/>
              </w:rPr>
            </w:pPr>
          </w:p>
        </w:tc>
        <w:tc>
          <w:tcPr>
            <w:tcW w:w="563" w:type="dxa"/>
            <w:noWrap w:val="0"/>
            <w:vAlign w:val="center"/>
          </w:tcPr>
          <w:p>
            <w:pPr>
              <w:pStyle w:val="16"/>
              <w:spacing w:line="380" w:lineRule="exact"/>
              <w:jc w:val="center"/>
              <w:rPr>
                <w:rFonts w:hAnsi="宋体" w:cs="宋体"/>
                <w:sz w:val="22"/>
                <w:szCs w:val="21"/>
                <w:lang w:val="en-US" w:eastAsia="zh-CN"/>
              </w:rPr>
            </w:pPr>
          </w:p>
        </w:tc>
        <w:tc>
          <w:tcPr>
            <w:tcW w:w="502" w:type="dxa"/>
            <w:noWrap w:val="0"/>
            <w:vAlign w:val="center"/>
          </w:tcPr>
          <w:p>
            <w:pPr>
              <w:pStyle w:val="16"/>
              <w:spacing w:line="380" w:lineRule="exact"/>
              <w:jc w:val="center"/>
              <w:rPr>
                <w:rFonts w:hAnsi="宋体" w:cs="宋体"/>
                <w:sz w:val="22"/>
                <w:szCs w:val="21"/>
                <w:lang w:val="en-US" w:eastAsia="zh-CN"/>
              </w:rPr>
            </w:pPr>
          </w:p>
        </w:tc>
        <w:tc>
          <w:tcPr>
            <w:tcW w:w="493" w:type="dxa"/>
            <w:noWrap w:val="0"/>
            <w:vAlign w:val="center"/>
          </w:tcPr>
          <w:p>
            <w:pPr>
              <w:pStyle w:val="16"/>
              <w:spacing w:line="380" w:lineRule="exact"/>
              <w:jc w:val="center"/>
              <w:rPr>
                <w:rFonts w:hAnsi="宋体" w:cs="宋体"/>
                <w:sz w:val="22"/>
                <w:szCs w:val="21"/>
                <w:lang w:val="en-US" w:eastAsia="zh-CN"/>
              </w:rPr>
            </w:pPr>
          </w:p>
        </w:tc>
        <w:tc>
          <w:tcPr>
            <w:tcW w:w="516" w:type="dxa"/>
            <w:noWrap w:val="0"/>
            <w:vAlign w:val="center"/>
          </w:tcPr>
          <w:p>
            <w:pPr>
              <w:pStyle w:val="16"/>
              <w:spacing w:line="380" w:lineRule="exact"/>
              <w:jc w:val="center"/>
              <w:rPr>
                <w:rFonts w:hAnsi="宋体" w:cs="宋体"/>
                <w:sz w:val="22"/>
                <w:szCs w:val="21"/>
                <w:lang w:val="en-US" w:eastAsia="zh-CN"/>
              </w:rPr>
            </w:pPr>
          </w:p>
        </w:tc>
        <w:tc>
          <w:tcPr>
            <w:tcW w:w="472" w:type="dxa"/>
            <w:noWrap w:val="0"/>
            <w:vAlign w:val="center"/>
          </w:tcPr>
          <w:p>
            <w:pPr>
              <w:pStyle w:val="16"/>
              <w:spacing w:line="380" w:lineRule="exact"/>
              <w:jc w:val="center"/>
              <w:rPr>
                <w:rFonts w:hAnsi="宋体" w:cs="宋体"/>
                <w:sz w:val="22"/>
                <w:szCs w:val="21"/>
                <w:lang w:val="en-US" w:eastAsia="zh-CN"/>
              </w:rPr>
            </w:pPr>
          </w:p>
        </w:tc>
        <w:tc>
          <w:tcPr>
            <w:tcW w:w="462" w:type="dxa"/>
            <w:noWrap w:val="0"/>
            <w:vAlign w:val="center"/>
          </w:tcPr>
          <w:p>
            <w:pPr>
              <w:pStyle w:val="16"/>
              <w:spacing w:line="380" w:lineRule="exact"/>
              <w:jc w:val="center"/>
              <w:rPr>
                <w:rFonts w:hAnsi="宋体" w:cs="宋体"/>
                <w:sz w:val="22"/>
                <w:szCs w:val="21"/>
                <w:lang w:val="en-US" w:eastAsia="zh-CN"/>
              </w:rPr>
            </w:pPr>
          </w:p>
        </w:tc>
        <w:tc>
          <w:tcPr>
            <w:tcW w:w="1045" w:type="dxa"/>
            <w:noWrap w:val="0"/>
            <w:vAlign w:val="center"/>
          </w:tcPr>
          <w:p>
            <w:pPr>
              <w:pStyle w:val="16"/>
              <w:spacing w:line="380" w:lineRule="exact"/>
              <w:jc w:val="center"/>
              <w:rPr>
                <w:rFonts w:hAnsi="宋体" w:cs="宋体"/>
                <w:sz w:val="22"/>
                <w:szCs w:val="21"/>
                <w:lang w:val="en-US" w:eastAsia="zh-CN"/>
              </w:rPr>
            </w:pPr>
          </w:p>
        </w:tc>
        <w:tc>
          <w:tcPr>
            <w:tcW w:w="1731" w:type="dxa"/>
            <w:noWrap w:val="0"/>
            <w:vAlign w:val="center"/>
          </w:tcPr>
          <w:p>
            <w:pPr>
              <w:pStyle w:val="16"/>
              <w:spacing w:line="380" w:lineRule="exact"/>
              <w:jc w:val="center"/>
              <w:rPr>
                <w:rFonts w:hAnsi="宋体" w:cs="宋体"/>
                <w:sz w:val="22"/>
                <w:szCs w:val="21"/>
                <w:lang w:val="en-US" w:eastAsia="zh-CN"/>
              </w:rPr>
            </w:pPr>
          </w:p>
        </w:tc>
        <w:tc>
          <w:tcPr>
            <w:tcW w:w="751" w:type="dxa"/>
            <w:noWrap w:val="0"/>
            <w:vAlign w:val="center"/>
          </w:tcPr>
          <w:p>
            <w:pPr>
              <w:pStyle w:val="16"/>
              <w:spacing w:line="380" w:lineRule="exact"/>
              <w:jc w:val="center"/>
              <w:rPr>
                <w:rFonts w:hAnsi="宋体" w:cs="宋体"/>
                <w:sz w:val="22"/>
                <w:szCs w:val="21"/>
                <w:lang w:val="en-US" w:eastAsia="zh-CN"/>
              </w:rPr>
            </w:pPr>
          </w:p>
        </w:tc>
        <w:tc>
          <w:tcPr>
            <w:tcW w:w="2739" w:type="dxa"/>
            <w:noWrap w:val="0"/>
            <w:vAlign w:val="center"/>
          </w:tcPr>
          <w:p>
            <w:pPr>
              <w:pStyle w:val="16"/>
              <w:spacing w:line="380" w:lineRule="exact"/>
              <w:jc w:val="center"/>
              <w:rPr>
                <w:rFonts w:hAnsi="宋体" w:cs="宋体"/>
                <w:sz w:val="22"/>
                <w:szCs w:val="21"/>
                <w:lang w:val="en-US" w:eastAsia="zh-CN"/>
              </w:rPr>
            </w:pPr>
          </w:p>
        </w:tc>
        <w:tc>
          <w:tcPr>
            <w:tcW w:w="1407" w:type="dxa"/>
            <w:noWrap w:val="0"/>
            <w:vAlign w:val="center"/>
          </w:tcPr>
          <w:p>
            <w:pPr>
              <w:pStyle w:val="16"/>
              <w:spacing w:line="380" w:lineRule="exact"/>
              <w:jc w:val="center"/>
              <w:rPr>
                <w:rFonts w:hAnsi="宋体" w:cs="宋体"/>
                <w:sz w:val="22"/>
                <w:szCs w:val="21"/>
                <w:lang w:val="en-US" w:eastAsia="zh-CN"/>
              </w:rPr>
            </w:pPr>
          </w:p>
        </w:tc>
        <w:tc>
          <w:tcPr>
            <w:tcW w:w="461" w:type="dxa"/>
            <w:noWrap w:val="0"/>
            <w:vAlign w:val="center"/>
          </w:tcPr>
          <w:p>
            <w:pPr>
              <w:pStyle w:val="16"/>
              <w:spacing w:line="380" w:lineRule="exact"/>
              <w:jc w:val="center"/>
              <w:rPr>
                <w:rFonts w:hAnsi="宋体" w:cs="宋体"/>
                <w:sz w:val="22"/>
                <w:szCs w:val="21"/>
                <w:lang w:val="en-US" w:eastAsia="zh-CN"/>
              </w:rPr>
            </w:pPr>
          </w:p>
        </w:tc>
        <w:tc>
          <w:tcPr>
            <w:tcW w:w="423" w:type="dxa"/>
            <w:noWrap w:val="0"/>
            <w:vAlign w:val="center"/>
          </w:tcPr>
          <w:p>
            <w:pPr>
              <w:pStyle w:val="16"/>
              <w:spacing w:line="380" w:lineRule="exact"/>
              <w:jc w:val="center"/>
              <w:rPr>
                <w:rFonts w:hAnsi="宋体" w:cs="宋体"/>
                <w:sz w:val="22"/>
                <w:szCs w:val="21"/>
                <w:lang w:val="en-US" w:eastAsia="zh-CN"/>
              </w:rPr>
            </w:pPr>
          </w:p>
        </w:tc>
        <w:tc>
          <w:tcPr>
            <w:tcW w:w="451" w:type="dxa"/>
            <w:noWrap w:val="0"/>
            <w:vAlign w:val="center"/>
          </w:tcPr>
          <w:p>
            <w:pPr>
              <w:pStyle w:val="16"/>
              <w:spacing w:line="380" w:lineRule="exact"/>
              <w:jc w:val="center"/>
              <w:rPr>
                <w:rFonts w:hAnsi="宋体" w:cs="宋体"/>
                <w:sz w:val="22"/>
                <w:szCs w:val="21"/>
                <w:lang w:val="en-US" w:eastAsia="zh-CN"/>
              </w:rPr>
            </w:pPr>
          </w:p>
        </w:tc>
        <w:tc>
          <w:tcPr>
            <w:tcW w:w="533" w:type="dxa"/>
            <w:noWrap w:val="0"/>
            <w:vAlign w:val="center"/>
          </w:tcPr>
          <w:p>
            <w:pPr>
              <w:pStyle w:val="16"/>
              <w:spacing w:line="380" w:lineRule="exact"/>
              <w:jc w:val="center"/>
              <w:rPr>
                <w:rFonts w:hAnsi="宋体" w:cs="宋体"/>
                <w:sz w:val="22"/>
                <w:szCs w:val="21"/>
                <w:lang w:val="en-US" w:eastAsia="zh-CN"/>
              </w:rPr>
            </w:pPr>
          </w:p>
        </w:tc>
        <w:tc>
          <w:tcPr>
            <w:tcW w:w="470" w:type="dxa"/>
            <w:noWrap w:val="0"/>
            <w:vAlign w:val="center"/>
          </w:tcPr>
          <w:p>
            <w:pPr>
              <w:pStyle w:val="16"/>
              <w:spacing w:line="380" w:lineRule="exact"/>
              <w:jc w:val="center"/>
              <w:rPr>
                <w:rFonts w:hAnsi="宋体" w:cs="宋体"/>
                <w:sz w:val="22"/>
                <w:szCs w:val="21"/>
                <w:lang w:val="en-US" w:eastAsia="zh-CN"/>
              </w:rPr>
            </w:pPr>
          </w:p>
        </w:tc>
        <w:tc>
          <w:tcPr>
            <w:tcW w:w="486" w:type="dxa"/>
            <w:noWrap w:val="0"/>
            <w:vAlign w:val="center"/>
          </w:tcPr>
          <w:p>
            <w:pPr>
              <w:pStyle w:val="16"/>
              <w:spacing w:line="380" w:lineRule="exact"/>
              <w:jc w:val="center"/>
              <w:rPr>
                <w:rFonts w:hAnsi="宋体" w:cs="宋体"/>
                <w:sz w:val="22"/>
                <w:szCs w:val="21"/>
                <w:lang w:val="en-US" w:eastAsia="zh-CN"/>
              </w:rPr>
            </w:pPr>
          </w:p>
        </w:tc>
        <w:tc>
          <w:tcPr>
            <w:tcW w:w="529" w:type="dxa"/>
            <w:noWrap w:val="0"/>
            <w:vAlign w:val="center"/>
          </w:tcPr>
          <w:p>
            <w:pPr>
              <w:pStyle w:val="16"/>
              <w:spacing w:line="380" w:lineRule="exact"/>
              <w:jc w:val="center"/>
              <w:rPr>
                <w:rFonts w:hAnsi="宋体" w:cs="宋体"/>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0" w:type="dxa"/>
            <w:noWrap w:val="0"/>
            <w:vAlign w:val="center"/>
          </w:tcPr>
          <w:p>
            <w:pPr>
              <w:pStyle w:val="16"/>
              <w:spacing w:line="380" w:lineRule="exact"/>
              <w:jc w:val="center"/>
              <w:rPr>
                <w:rFonts w:hAnsi="宋体" w:cs="宋体"/>
                <w:sz w:val="22"/>
                <w:szCs w:val="21"/>
                <w:lang w:val="en-US" w:eastAsia="zh-CN"/>
              </w:rPr>
            </w:pPr>
            <w:r>
              <w:rPr>
                <w:rFonts w:hint="eastAsia" w:hAnsi="宋体" w:cs="宋体"/>
                <w:sz w:val="22"/>
                <w:szCs w:val="21"/>
                <w:lang w:val="en-US" w:eastAsia="zh-CN"/>
              </w:rPr>
              <w:t>4</w:t>
            </w:r>
          </w:p>
        </w:tc>
        <w:tc>
          <w:tcPr>
            <w:tcW w:w="493" w:type="dxa"/>
            <w:noWrap w:val="0"/>
            <w:vAlign w:val="center"/>
          </w:tcPr>
          <w:p>
            <w:pPr>
              <w:pStyle w:val="16"/>
              <w:spacing w:line="380" w:lineRule="exact"/>
              <w:jc w:val="center"/>
              <w:rPr>
                <w:rFonts w:hAnsi="宋体" w:cs="宋体"/>
                <w:sz w:val="22"/>
                <w:szCs w:val="21"/>
                <w:lang w:val="en-US" w:eastAsia="zh-CN"/>
              </w:rPr>
            </w:pPr>
          </w:p>
        </w:tc>
        <w:tc>
          <w:tcPr>
            <w:tcW w:w="563" w:type="dxa"/>
            <w:noWrap w:val="0"/>
            <w:vAlign w:val="center"/>
          </w:tcPr>
          <w:p>
            <w:pPr>
              <w:pStyle w:val="16"/>
              <w:spacing w:line="380" w:lineRule="exact"/>
              <w:jc w:val="center"/>
              <w:rPr>
                <w:rFonts w:hAnsi="宋体" w:cs="宋体"/>
                <w:sz w:val="22"/>
                <w:szCs w:val="21"/>
                <w:lang w:val="en-US" w:eastAsia="zh-CN"/>
              </w:rPr>
            </w:pPr>
          </w:p>
        </w:tc>
        <w:tc>
          <w:tcPr>
            <w:tcW w:w="502" w:type="dxa"/>
            <w:noWrap w:val="0"/>
            <w:vAlign w:val="center"/>
          </w:tcPr>
          <w:p>
            <w:pPr>
              <w:pStyle w:val="16"/>
              <w:spacing w:line="380" w:lineRule="exact"/>
              <w:jc w:val="center"/>
              <w:rPr>
                <w:rFonts w:hAnsi="宋体" w:cs="宋体"/>
                <w:sz w:val="22"/>
                <w:szCs w:val="21"/>
                <w:lang w:val="en-US" w:eastAsia="zh-CN"/>
              </w:rPr>
            </w:pPr>
          </w:p>
        </w:tc>
        <w:tc>
          <w:tcPr>
            <w:tcW w:w="493" w:type="dxa"/>
            <w:noWrap w:val="0"/>
            <w:vAlign w:val="center"/>
          </w:tcPr>
          <w:p>
            <w:pPr>
              <w:pStyle w:val="16"/>
              <w:spacing w:line="380" w:lineRule="exact"/>
              <w:jc w:val="center"/>
              <w:rPr>
                <w:rFonts w:hAnsi="宋体" w:cs="宋体"/>
                <w:sz w:val="22"/>
                <w:szCs w:val="21"/>
                <w:lang w:val="en-US" w:eastAsia="zh-CN"/>
              </w:rPr>
            </w:pPr>
          </w:p>
        </w:tc>
        <w:tc>
          <w:tcPr>
            <w:tcW w:w="516" w:type="dxa"/>
            <w:noWrap w:val="0"/>
            <w:vAlign w:val="center"/>
          </w:tcPr>
          <w:p>
            <w:pPr>
              <w:pStyle w:val="16"/>
              <w:spacing w:line="380" w:lineRule="exact"/>
              <w:jc w:val="center"/>
              <w:rPr>
                <w:rFonts w:hAnsi="宋体" w:cs="宋体"/>
                <w:sz w:val="22"/>
                <w:szCs w:val="21"/>
                <w:lang w:val="en-US" w:eastAsia="zh-CN"/>
              </w:rPr>
            </w:pPr>
          </w:p>
        </w:tc>
        <w:tc>
          <w:tcPr>
            <w:tcW w:w="472" w:type="dxa"/>
            <w:noWrap w:val="0"/>
            <w:vAlign w:val="center"/>
          </w:tcPr>
          <w:p>
            <w:pPr>
              <w:pStyle w:val="16"/>
              <w:spacing w:line="380" w:lineRule="exact"/>
              <w:jc w:val="center"/>
              <w:rPr>
                <w:rFonts w:hAnsi="宋体" w:cs="宋体"/>
                <w:sz w:val="22"/>
                <w:szCs w:val="21"/>
                <w:lang w:val="en-US" w:eastAsia="zh-CN"/>
              </w:rPr>
            </w:pPr>
          </w:p>
        </w:tc>
        <w:tc>
          <w:tcPr>
            <w:tcW w:w="462" w:type="dxa"/>
            <w:noWrap w:val="0"/>
            <w:vAlign w:val="center"/>
          </w:tcPr>
          <w:p>
            <w:pPr>
              <w:pStyle w:val="16"/>
              <w:spacing w:line="380" w:lineRule="exact"/>
              <w:jc w:val="center"/>
              <w:rPr>
                <w:rFonts w:hAnsi="宋体" w:cs="宋体"/>
                <w:sz w:val="22"/>
                <w:szCs w:val="21"/>
                <w:lang w:val="en-US" w:eastAsia="zh-CN"/>
              </w:rPr>
            </w:pPr>
          </w:p>
        </w:tc>
        <w:tc>
          <w:tcPr>
            <w:tcW w:w="1045" w:type="dxa"/>
            <w:noWrap w:val="0"/>
            <w:vAlign w:val="center"/>
          </w:tcPr>
          <w:p>
            <w:pPr>
              <w:pStyle w:val="16"/>
              <w:spacing w:line="380" w:lineRule="exact"/>
              <w:jc w:val="center"/>
              <w:rPr>
                <w:rFonts w:hAnsi="宋体" w:cs="宋体"/>
                <w:sz w:val="22"/>
                <w:szCs w:val="21"/>
                <w:lang w:val="en-US" w:eastAsia="zh-CN"/>
              </w:rPr>
            </w:pPr>
          </w:p>
        </w:tc>
        <w:tc>
          <w:tcPr>
            <w:tcW w:w="1731" w:type="dxa"/>
            <w:noWrap w:val="0"/>
            <w:vAlign w:val="center"/>
          </w:tcPr>
          <w:p>
            <w:pPr>
              <w:pStyle w:val="16"/>
              <w:spacing w:line="380" w:lineRule="exact"/>
              <w:jc w:val="center"/>
              <w:rPr>
                <w:rFonts w:hAnsi="宋体" w:cs="宋体"/>
                <w:sz w:val="22"/>
                <w:szCs w:val="21"/>
                <w:lang w:val="en-US" w:eastAsia="zh-CN"/>
              </w:rPr>
            </w:pPr>
          </w:p>
        </w:tc>
        <w:tc>
          <w:tcPr>
            <w:tcW w:w="751" w:type="dxa"/>
            <w:noWrap w:val="0"/>
            <w:vAlign w:val="center"/>
          </w:tcPr>
          <w:p>
            <w:pPr>
              <w:pStyle w:val="16"/>
              <w:spacing w:line="380" w:lineRule="exact"/>
              <w:jc w:val="center"/>
              <w:rPr>
                <w:rFonts w:hAnsi="宋体" w:cs="宋体"/>
                <w:sz w:val="22"/>
                <w:szCs w:val="21"/>
                <w:lang w:val="en-US" w:eastAsia="zh-CN"/>
              </w:rPr>
            </w:pPr>
          </w:p>
        </w:tc>
        <w:tc>
          <w:tcPr>
            <w:tcW w:w="2739" w:type="dxa"/>
            <w:noWrap w:val="0"/>
            <w:vAlign w:val="center"/>
          </w:tcPr>
          <w:p>
            <w:pPr>
              <w:pStyle w:val="16"/>
              <w:spacing w:line="380" w:lineRule="exact"/>
              <w:jc w:val="center"/>
              <w:rPr>
                <w:rFonts w:hAnsi="宋体" w:cs="宋体"/>
                <w:sz w:val="22"/>
                <w:szCs w:val="21"/>
                <w:lang w:val="en-US" w:eastAsia="zh-CN"/>
              </w:rPr>
            </w:pPr>
          </w:p>
        </w:tc>
        <w:tc>
          <w:tcPr>
            <w:tcW w:w="1407" w:type="dxa"/>
            <w:noWrap w:val="0"/>
            <w:vAlign w:val="center"/>
          </w:tcPr>
          <w:p>
            <w:pPr>
              <w:pStyle w:val="16"/>
              <w:spacing w:line="380" w:lineRule="exact"/>
              <w:jc w:val="center"/>
              <w:rPr>
                <w:rFonts w:hAnsi="宋体" w:cs="宋体"/>
                <w:sz w:val="22"/>
                <w:szCs w:val="21"/>
                <w:lang w:val="en-US" w:eastAsia="zh-CN"/>
              </w:rPr>
            </w:pPr>
          </w:p>
        </w:tc>
        <w:tc>
          <w:tcPr>
            <w:tcW w:w="461" w:type="dxa"/>
            <w:noWrap w:val="0"/>
            <w:vAlign w:val="center"/>
          </w:tcPr>
          <w:p>
            <w:pPr>
              <w:pStyle w:val="16"/>
              <w:spacing w:line="380" w:lineRule="exact"/>
              <w:jc w:val="center"/>
              <w:rPr>
                <w:rFonts w:hAnsi="宋体" w:cs="宋体"/>
                <w:sz w:val="22"/>
                <w:szCs w:val="21"/>
                <w:lang w:val="en-US" w:eastAsia="zh-CN"/>
              </w:rPr>
            </w:pPr>
          </w:p>
        </w:tc>
        <w:tc>
          <w:tcPr>
            <w:tcW w:w="423" w:type="dxa"/>
            <w:noWrap w:val="0"/>
            <w:vAlign w:val="center"/>
          </w:tcPr>
          <w:p>
            <w:pPr>
              <w:pStyle w:val="16"/>
              <w:spacing w:line="380" w:lineRule="exact"/>
              <w:jc w:val="center"/>
              <w:rPr>
                <w:rFonts w:hAnsi="宋体" w:cs="宋体"/>
                <w:sz w:val="22"/>
                <w:szCs w:val="21"/>
                <w:lang w:val="en-US" w:eastAsia="zh-CN"/>
              </w:rPr>
            </w:pPr>
          </w:p>
        </w:tc>
        <w:tc>
          <w:tcPr>
            <w:tcW w:w="451" w:type="dxa"/>
            <w:noWrap w:val="0"/>
            <w:vAlign w:val="center"/>
          </w:tcPr>
          <w:p>
            <w:pPr>
              <w:pStyle w:val="16"/>
              <w:spacing w:line="380" w:lineRule="exact"/>
              <w:jc w:val="center"/>
              <w:rPr>
                <w:rFonts w:hAnsi="宋体" w:cs="宋体"/>
                <w:sz w:val="22"/>
                <w:szCs w:val="21"/>
                <w:lang w:val="en-US" w:eastAsia="zh-CN"/>
              </w:rPr>
            </w:pPr>
          </w:p>
        </w:tc>
        <w:tc>
          <w:tcPr>
            <w:tcW w:w="533" w:type="dxa"/>
            <w:noWrap w:val="0"/>
            <w:vAlign w:val="center"/>
          </w:tcPr>
          <w:p>
            <w:pPr>
              <w:pStyle w:val="16"/>
              <w:spacing w:line="380" w:lineRule="exact"/>
              <w:jc w:val="center"/>
              <w:rPr>
                <w:rFonts w:hAnsi="宋体" w:cs="宋体"/>
                <w:sz w:val="22"/>
                <w:szCs w:val="21"/>
                <w:lang w:val="en-US" w:eastAsia="zh-CN"/>
              </w:rPr>
            </w:pPr>
          </w:p>
        </w:tc>
        <w:tc>
          <w:tcPr>
            <w:tcW w:w="470" w:type="dxa"/>
            <w:noWrap w:val="0"/>
            <w:vAlign w:val="center"/>
          </w:tcPr>
          <w:p>
            <w:pPr>
              <w:pStyle w:val="16"/>
              <w:spacing w:line="380" w:lineRule="exact"/>
              <w:jc w:val="center"/>
              <w:rPr>
                <w:rFonts w:hAnsi="宋体" w:cs="宋体"/>
                <w:sz w:val="22"/>
                <w:szCs w:val="21"/>
                <w:lang w:val="en-US" w:eastAsia="zh-CN"/>
              </w:rPr>
            </w:pPr>
          </w:p>
        </w:tc>
        <w:tc>
          <w:tcPr>
            <w:tcW w:w="486" w:type="dxa"/>
            <w:noWrap w:val="0"/>
            <w:vAlign w:val="center"/>
          </w:tcPr>
          <w:p>
            <w:pPr>
              <w:pStyle w:val="16"/>
              <w:spacing w:line="380" w:lineRule="exact"/>
              <w:jc w:val="center"/>
              <w:rPr>
                <w:rFonts w:hAnsi="宋体" w:cs="宋体"/>
                <w:sz w:val="22"/>
                <w:szCs w:val="21"/>
                <w:lang w:val="en-US" w:eastAsia="zh-CN"/>
              </w:rPr>
            </w:pPr>
          </w:p>
        </w:tc>
        <w:tc>
          <w:tcPr>
            <w:tcW w:w="529" w:type="dxa"/>
            <w:noWrap w:val="0"/>
            <w:vAlign w:val="center"/>
          </w:tcPr>
          <w:p>
            <w:pPr>
              <w:pStyle w:val="16"/>
              <w:spacing w:line="380" w:lineRule="exact"/>
              <w:jc w:val="center"/>
              <w:rPr>
                <w:rFonts w:hAnsi="宋体" w:cs="宋体"/>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0" w:type="dxa"/>
            <w:noWrap w:val="0"/>
            <w:vAlign w:val="center"/>
          </w:tcPr>
          <w:p>
            <w:pPr>
              <w:pStyle w:val="16"/>
              <w:spacing w:line="380" w:lineRule="exact"/>
              <w:jc w:val="center"/>
              <w:rPr>
                <w:rFonts w:hAnsi="宋体" w:cs="宋体"/>
                <w:sz w:val="22"/>
                <w:szCs w:val="21"/>
                <w:lang w:val="en-US" w:eastAsia="zh-CN"/>
              </w:rPr>
            </w:pPr>
            <w:r>
              <w:rPr>
                <w:rFonts w:hAnsi="宋体" w:cs="宋体"/>
                <w:sz w:val="22"/>
                <w:szCs w:val="21"/>
                <w:lang w:val="en-US" w:eastAsia="zh-CN"/>
              </w:rPr>
              <w:t>…</w:t>
            </w:r>
          </w:p>
        </w:tc>
        <w:tc>
          <w:tcPr>
            <w:tcW w:w="493" w:type="dxa"/>
            <w:noWrap w:val="0"/>
            <w:vAlign w:val="center"/>
          </w:tcPr>
          <w:p>
            <w:pPr>
              <w:pStyle w:val="16"/>
              <w:spacing w:line="380" w:lineRule="exact"/>
              <w:jc w:val="center"/>
              <w:rPr>
                <w:rFonts w:hAnsi="宋体" w:cs="宋体"/>
                <w:sz w:val="22"/>
                <w:szCs w:val="21"/>
                <w:lang w:val="en-US" w:eastAsia="zh-CN"/>
              </w:rPr>
            </w:pPr>
          </w:p>
        </w:tc>
        <w:tc>
          <w:tcPr>
            <w:tcW w:w="563" w:type="dxa"/>
            <w:noWrap w:val="0"/>
            <w:vAlign w:val="center"/>
          </w:tcPr>
          <w:p>
            <w:pPr>
              <w:pStyle w:val="16"/>
              <w:spacing w:line="380" w:lineRule="exact"/>
              <w:jc w:val="center"/>
              <w:rPr>
                <w:rFonts w:hAnsi="宋体" w:cs="宋体"/>
                <w:sz w:val="22"/>
                <w:szCs w:val="21"/>
                <w:lang w:val="en-US" w:eastAsia="zh-CN"/>
              </w:rPr>
            </w:pPr>
          </w:p>
        </w:tc>
        <w:tc>
          <w:tcPr>
            <w:tcW w:w="502" w:type="dxa"/>
            <w:noWrap w:val="0"/>
            <w:vAlign w:val="center"/>
          </w:tcPr>
          <w:p>
            <w:pPr>
              <w:pStyle w:val="16"/>
              <w:spacing w:line="380" w:lineRule="exact"/>
              <w:jc w:val="center"/>
              <w:rPr>
                <w:rFonts w:hAnsi="宋体" w:cs="宋体"/>
                <w:sz w:val="22"/>
                <w:szCs w:val="21"/>
                <w:lang w:val="en-US" w:eastAsia="zh-CN"/>
              </w:rPr>
            </w:pPr>
          </w:p>
        </w:tc>
        <w:tc>
          <w:tcPr>
            <w:tcW w:w="493" w:type="dxa"/>
            <w:noWrap w:val="0"/>
            <w:vAlign w:val="center"/>
          </w:tcPr>
          <w:p>
            <w:pPr>
              <w:pStyle w:val="16"/>
              <w:spacing w:line="380" w:lineRule="exact"/>
              <w:jc w:val="center"/>
              <w:rPr>
                <w:rFonts w:hAnsi="宋体" w:cs="宋体"/>
                <w:sz w:val="22"/>
                <w:szCs w:val="21"/>
                <w:lang w:val="en-US" w:eastAsia="zh-CN"/>
              </w:rPr>
            </w:pPr>
          </w:p>
        </w:tc>
        <w:tc>
          <w:tcPr>
            <w:tcW w:w="516" w:type="dxa"/>
            <w:noWrap w:val="0"/>
            <w:vAlign w:val="center"/>
          </w:tcPr>
          <w:p>
            <w:pPr>
              <w:pStyle w:val="16"/>
              <w:spacing w:line="380" w:lineRule="exact"/>
              <w:jc w:val="center"/>
              <w:rPr>
                <w:rFonts w:hAnsi="宋体" w:cs="宋体"/>
                <w:sz w:val="22"/>
                <w:szCs w:val="21"/>
                <w:lang w:val="en-US" w:eastAsia="zh-CN"/>
              </w:rPr>
            </w:pPr>
          </w:p>
        </w:tc>
        <w:tc>
          <w:tcPr>
            <w:tcW w:w="472" w:type="dxa"/>
            <w:noWrap w:val="0"/>
            <w:vAlign w:val="center"/>
          </w:tcPr>
          <w:p>
            <w:pPr>
              <w:pStyle w:val="16"/>
              <w:spacing w:line="380" w:lineRule="exact"/>
              <w:jc w:val="center"/>
              <w:rPr>
                <w:rFonts w:hAnsi="宋体" w:cs="宋体"/>
                <w:sz w:val="22"/>
                <w:szCs w:val="21"/>
                <w:lang w:val="en-US" w:eastAsia="zh-CN"/>
              </w:rPr>
            </w:pPr>
          </w:p>
        </w:tc>
        <w:tc>
          <w:tcPr>
            <w:tcW w:w="462" w:type="dxa"/>
            <w:noWrap w:val="0"/>
            <w:vAlign w:val="center"/>
          </w:tcPr>
          <w:p>
            <w:pPr>
              <w:pStyle w:val="16"/>
              <w:spacing w:line="380" w:lineRule="exact"/>
              <w:jc w:val="center"/>
              <w:rPr>
                <w:rFonts w:hAnsi="宋体" w:cs="宋体"/>
                <w:sz w:val="22"/>
                <w:szCs w:val="21"/>
                <w:lang w:val="en-US" w:eastAsia="zh-CN"/>
              </w:rPr>
            </w:pPr>
          </w:p>
        </w:tc>
        <w:tc>
          <w:tcPr>
            <w:tcW w:w="1045" w:type="dxa"/>
            <w:noWrap w:val="0"/>
            <w:vAlign w:val="center"/>
          </w:tcPr>
          <w:p>
            <w:pPr>
              <w:pStyle w:val="16"/>
              <w:spacing w:line="380" w:lineRule="exact"/>
              <w:jc w:val="center"/>
              <w:rPr>
                <w:rFonts w:hAnsi="宋体" w:cs="宋体"/>
                <w:sz w:val="22"/>
                <w:szCs w:val="21"/>
                <w:lang w:val="en-US" w:eastAsia="zh-CN"/>
              </w:rPr>
            </w:pPr>
          </w:p>
        </w:tc>
        <w:tc>
          <w:tcPr>
            <w:tcW w:w="1731" w:type="dxa"/>
            <w:noWrap w:val="0"/>
            <w:vAlign w:val="center"/>
          </w:tcPr>
          <w:p>
            <w:pPr>
              <w:pStyle w:val="16"/>
              <w:spacing w:line="380" w:lineRule="exact"/>
              <w:jc w:val="center"/>
              <w:rPr>
                <w:rFonts w:hAnsi="宋体" w:cs="宋体"/>
                <w:sz w:val="22"/>
                <w:szCs w:val="21"/>
                <w:lang w:val="en-US" w:eastAsia="zh-CN"/>
              </w:rPr>
            </w:pPr>
          </w:p>
        </w:tc>
        <w:tc>
          <w:tcPr>
            <w:tcW w:w="751" w:type="dxa"/>
            <w:noWrap w:val="0"/>
            <w:vAlign w:val="center"/>
          </w:tcPr>
          <w:p>
            <w:pPr>
              <w:pStyle w:val="16"/>
              <w:spacing w:line="380" w:lineRule="exact"/>
              <w:jc w:val="center"/>
              <w:rPr>
                <w:rFonts w:hAnsi="宋体" w:cs="宋体"/>
                <w:sz w:val="22"/>
                <w:szCs w:val="21"/>
                <w:lang w:val="en-US" w:eastAsia="zh-CN"/>
              </w:rPr>
            </w:pPr>
          </w:p>
        </w:tc>
        <w:tc>
          <w:tcPr>
            <w:tcW w:w="2739" w:type="dxa"/>
            <w:noWrap w:val="0"/>
            <w:vAlign w:val="center"/>
          </w:tcPr>
          <w:p>
            <w:pPr>
              <w:pStyle w:val="16"/>
              <w:spacing w:line="380" w:lineRule="exact"/>
              <w:jc w:val="center"/>
              <w:rPr>
                <w:rFonts w:hAnsi="宋体" w:cs="宋体"/>
                <w:sz w:val="22"/>
                <w:szCs w:val="21"/>
                <w:lang w:val="en-US" w:eastAsia="zh-CN"/>
              </w:rPr>
            </w:pPr>
          </w:p>
        </w:tc>
        <w:tc>
          <w:tcPr>
            <w:tcW w:w="1407" w:type="dxa"/>
            <w:noWrap w:val="0"/>
            <w:vAlign w:val="center"/>
          </w:tcPr>
          <w:p>
            <w:pPr>
              <w:pStyle w:val="16"/>
              <w:spacing w:line="380" w:lineRule="exact"/>
              <w:jc w:val="center"/>
              <w:rPr>
                <w:rFonts w:hAnsi="宋体" w:cs="宋体"/>
                <w:sz w:val="22"/>
                <w:szCs w:val="21"/>
                <w:lang w:val="en-US" w:eastAsia="zh-CN"/>
              </w:rPr>
            </w:pPr>
          </w:p>
        </w:tc>
        <w:tc>
          <w:tcPr>
            <w:tcW w:w="461" w:type="dxa"/>
            <w:noWrap w:val="0"/>
            <w:vAlign w:val="center"/>
          </w:tcPr>
          <w:p>
            <w:pPr>
              <w:pStyle w:val="16"/>
              <w:spacing w:line="380" w:lineRule="exact"/>
              <w:jc w:val="center"/>
              <w:rPr>
                <w:rFonts w:hAnsi="宋体" w:cs="宋体"/>
                <w:sz w:val="22"/>
                <w:szCs w:val="21"/>
                <w:lang w:val="en-US" w:eastAsia="zh-CN"/>
              </w:rPr>
            </w:pPr>
          </w:p>
        </w:tc>
        <w:tc>
          <w:tcPr>
            <w:tcW w:w="423" w:type="dxa"/>
            <w:noWrap w:val="0"/>
            <w:vAlign w:val="center"/>
          </w:tcPr>
          <w:p>
            <w:pPr>
              <w:pStyle w:val="16"/>
              <w:spacing w:line="380" w:lineRule="exact"/>
              <w:jc w:val="center"/>
              <w:rPr>
                <w:rFonts w:hAnsi="宋体" w:cs="宋体"/>
                <w:sz w:val="22"/>
                <w:szCs w:val="21"/>
                <w:lang w:val="en-US" w:eastAsia="zh-CN"/>
              </w:rPr>
            </w:pPr>
          </w:p>
        </w:tc>
        <w:tc>
          <w:tcPr>
            <w:tcW w:w="451" w:type="dxa"/>
            <w:noWrap w:val="0"/>
            <w:vAlign w:val="center"/>
          </w:tcPr>
          <w:p>
            <w:pPr>
              <w:pStyle w:val="16"/>
              <w:spacing w:line="380" w:lineRule="exact"/>
              <w:jc w:val="center"/>
              <w:rPr>
                <w:rFonts w:hAnsi="宋体" w:cs="宋体"/>
                <w:sz w:val="22"/>
                <w:szCs w:val="21"/>
                <w:lang w:val="en-US" w:eastAsia="zh-CN"/>
              </w:rPr>
            </w:pPr>
          </w:p>
        </w:tc>
        <w:tc>
          <w:tcPr>
            <w:tcW w:w="533" w:type="dxa"/>
            <w:noWrap w:val="0"/>
            <w:vAlign w:val="center"/>
          </w:tcPr>
          <w:p>
            <w:pPr>
              <w:pStyle w:val="16"/>
              <w:spacing w:line="380" w:lineRule="exact"/>
              <w:jc w:val="center"/>
              <w:rPr>
                <w:rFonts w:hAnsi="宋体" w:cs="宋体"/>
                <w:sz w:val="22"/>
                <w:szCs w:val="21"/>
                <w:lang w:val="en-US" w:eastAsia="zh-CN"/>
              </w:rPr>
            </w:pPr>
          </w:p>
        </w:tc>
        <w:tc>
          <w:tcPr>
            <w:tcW w:w="470" w:type="dxa"/>
            <w:noWrap w:val="0"/>
            <w:vAlign w:val="center"/>
          </w:tcPr>
          <w:p>
            <w:pPr>
              <w:pStyle w:val="16"/>
              <w:spacing w:line="380" w:lineRule="exact"/>
              <w:jc w:val="center"/>
              <w:rPr>
                <w:rFonts w:hAnsi="宋体" w:cs="宋体"/>
                <w:sz w:val="22"/>
                <w:szCs w:val="21"/>
                <w:lang w:val="en-US" w:eastAsia="zh-CN"/>
              </w:rPr>
            </w:pPr>
          </w:p>
        </w:tc>
        <w:tc>
          <w:tcPr>
            <w:tcW w:w="486" w:type="dxa"/>
            <w:noWrap w:val="0"/>
            <w:vAlign w:val="center"/>
          </w:tcPr>
          <w:p>
            <w:pPr>
              <w:pStyle w:val="16"/>
              <w:spacing w:line="380" w:lineRule="exact"/>
              <w:jc w:val="center"/>
              <w:rPr>
                <w:rFonts w:hAnsi="宋体" w:cs="宋体"/>
                <w:sz w:val="22"/>
                <w:szCs w:val="21"/>
                <w:lang w:val="en-US" w:eastAsia="zh-CN"/>
              </w:rPr>
            </w:pPr>
          </w:p>
        </w:tc>
        <w:tc>
          <w:tcPr>
            <w:tcW w:w="529" w:type="dxa"/>
            <w:noWrap w:val="0"/>
            <w:vAlign w:val="center"/>
          </w:tcPr>
          <w:p>
            <w:pPr>
              <w:pStyle w:val="16"/>
              <w:spacing w:line="380" w:lineRule="exact"/>
              <w:jc w:val="center"/>
              <w:rPr>
                <w:rFonts w:hAnsi="宋体" w:cs="宋体"/>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5057" w:type="dxa"/>
            <w:gridSpan w:val="20"/>
            <w:noWrap w:val="0"/>
            <w:vAlign w:val="center"/>
          </w:tcPr>
          <w:p>
            <w:pPr>
              <w:pStyle w:val="16"/>
              <w:spacing w:line="380" w:lineRule="exact"/>
              <w:jc w:val="left"/>
              <w:rPr>
                <w:rFonts w:hint="eastAsia" w:hAnsi="宋体" w:cs="宋体"/>
                <w:sz w:val="22"/>
                <w:szCs w:val="21"/>
                <w:lang w:val="en-US" w:eastAsia="zh-CN"/>
              </w:rPr>
            </w:pPr>
            <w:r>
              <w:rPr>
                <w:rFonts w:hint="eastAsia" w:hAnsi="宋体" w:cs="宋体"/>
                <w:sz w:val="20"/>
                <w:szCs w:val="20"/>
                <w:lang w:val="en-US" w:eastAsia="zh-CN"/>
              </w:rPr>
              <w:t>说明：1、符合要求的在表格内打“○”，不符合要求的在表格内打“×”，符合性评审结论用“合格”或“不合格”表示。2、全部符合要求的，符合性评审结论为“合格”，其中有一项不符合要求的，符合性评审结论为“不合格”，有半数以上评委认为不合格的投标人不得进入下一阶段的评审。</w:t>
            </w:r>
          </w:p>
        </w:tc>
      </w:tr>
    </w:tbl>
    <w:p>
      <w:pPr>
        <w:pStyle w:val="10"/>
        <w:spacing w:before="3"/>
        <w:ind w:left="340"/>
        <w:rPr>
          <w:color w:val="auto"/>
          <w:highlight w:val="none"/>
        </w:rPr>
      </w:pPr>
    </w:p>
    <w:p>
      <w:pPr>
        <w:pStyle w:val="10"/>
        <w:spacing w:before="3"/>
        <w:ind w:left="340"/>
        <w:rPr>
          <w:color w:val="auto"/>
          <w:highlight w:val="none"/>
        </w:rPr>
      </w:pPr>
      <w:r>
        <w:rPr>
          <w:color w:val="auto"/>
          <w:highlight w:val="none"/>
        </w:rPr>
        <w:t>评委（签名）：</w:t>
      </w:r>
    </w:p>
    <w:p>
      <w:pPr>
        <w:spacing w:after="0"/>
        <w:rPr>
          <w:color w:val="auto"/>
          <w:highlight w:val="none"/>
        </w:rPr>
        <w:sectPr>
          <w:footerReference r:id="rId19" w:type="default"/>
          <w:pgSz w:w="16840" w:h="11910" w:orient="landscape"/>
          <w:pgMar w:top="1100" w:right="960" w:bottom="1240" w:left="1100" w:header="0" w:footer="1059" w:gutter="0"/>
          <w:pgBorders>
            <w:top w:val="none" w:sz="0" w:space="0"/>
            <w:left w:val="none" w:sz="0" w:space="0"/>
            <w:bottom w:val="none" w:sz="0" w:space="0"/>
            <w:right w:val="none" w:sz="0" w:space="0"/>
          </w:pgBorders>
          <w:pgNumType w:fmt="decimal"/>
          <w:cols w:space="720" w:num="1"/>
        </w:sectPr>
      </w:pPr>
    </w:p>
    <w:p>
      <w:pPr>
        <w:spacing w:before="79"/>
        <w:ind w:left="4502" w:right="5098" w:firstLine="0"/>
        <w:jc w:val="center"/>
        <w:rPr>
          <w:b/>
          <w:color w:val="auto"/>
          <w:sz w:val="32"/>
          <w:highlight w:val="none"/>
        </w:rPr>
      </w:pPr>
      <w:r>
        <w:rPr>
          <w:b/>
          <w:color w:val="auto"/>
          <w:sz w:val="32"/>
          <w:highlight w:val="none"/>
        </w:rPr>
        <w:t>形式性、资格性及响应性评审汇总表</w:t>
      </w:r>
    </w:p>
    <w:p>
      <w:pPr>
        <w:pStyle w:val="14"/>
        <w:spacing w:before="11"/>
        <w:rPr>
          <w:b/>
          <w:color w:val="auto"/>
          <w:sz w:val="38"/>
          <w:highlight w:val="none"/>
        </w:rPr>
      </w:pPr>
    </w:p>
    <w:p>
      <w:pPr>
        <w:bidi w:val="0"/>
        <w:ind w:firstLine="220" w:firstLineChars="100"/>
        <w:rPr>
          <w:rFonts w:hint="default" w:eastAsia="宋体"/>
          <w:color w:val="auto"/>
          <w:highlight w:val="none"/>
          <w:lang w:val="en-US" w:eastAsia="zh-CN"/>
        </w:rPr>
      </w:pPr>
      <w:r>
        <w:rPr>
          <w:rFonts w:hint="default"/>
          <w:color w:val="auto"/>
          <w:highlight w:val="none"/>
          <w:lang w:val="en-US"/>
        </w:rPr>
        <mc:AlternateContent>
          <mc:Choice Requires="wps">
            <w:drawing>
              <wp:anchor distT="0" distB="0" distL="114300" distR="114300" simplePos="0" relativeHeight="251670528" behindDoc="0" locked="0" layoutInCell="1" allowOverlap="1">
                <wp:simplePos x="0" y="0"/>
                <wp:positionH relativeFrom="page">
                  <wp:posOffset>914400</wp:posOffset>
                </wp:positionH>
                <wp:positionV relativeFrom="paragraph">
                  <wp:posOffset>543560</wp:posOffset>
                </wp:positionV>
                <wp:extent cx="9100820" cy="3060700"/>
                <wp:effectExtent l="0" t="0" r="0" b="0"/>
                <wp:wrapNone/>
                <wp:docPr id="40" name="文本框 45"/>
                <wp:cNvGraphicFramePr/>
                <a:graphic xmlns:a="http://schemas.openxmlformats.org/drawingml/2006/main">
                  <a:graphicData uri="http://schemas.microsoft.com/office/word/2010/wordprocessingShape">
                    <wps:wsp>
                      <wps:cNvSpPr txBox="1"/>
                      <wps:spPr>
                        <a:xfrm>
                          <a:off x="0" y="0"/>
                          <a:ext cx="9100820" cy="3060700"/>
                        </a:xfrm>
                        <a:prstGeom prst="rect">
                          <a:avLst/>
                        </a:prstGeom>
                        <a:noFill/>
                        <a:ln>
                          <a:noFill/>
                        </a:ln>
                      </wps:spPr>
                      <wps:txbx>
                        <w:txbxContent>
                          <w:tbl>
                            <w:tblPr>
                              <w:tblStyle w:val="23"/>
                              <w:tblW w:w="14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3780"/>
                              <w:gridCol w:w="1401"/>
                              <w:gridCol w:w="1399"/>
                              <w:gridCol w:w="1401"/>
                              <w:gridCol w:w="1399"/>
                              <w:gridCol w:w="1401"/>
                              <w:gridCol w:w="138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732" w:type="dxa"/>
                                  <w:vMerge w:val="restart"/>
                                  <w:tcBorders>
                                    <w:tl2br w:val="nil"/>
                                    <w:tr2bl w:val="nil"/>
                                  </w:tcBorders>
                                </w:tcPr>
                                <w:p>
                                  <w:pPr>
                                    <w:pStyle w:val="29"/>
                                    <w:rPr>
                                      <w:sz w:val="20"/>
                                    </w:rPr>
                                  </w:pPr>
                                </w:p>
                                <w:p>
                                  <w:pPr>
                                    <w:pStyle w:val="29"/>
                                    <w:rPr>
                                      <w:sz w:val="20"/>
                                    </w:rPr>
                                  </w:pPr>
                                </w:p>
                                <w:p>
                                  <w:pPr>
                                    <w:pStyle w:val="29"/>
                                    <w:spacing w:before="135"/>
                                    <w:ind w:left="112"/>
                                    <w:rPr>
                                      <w:sz w:val="21"/>
                                    </w:rPr>
                                  </w:pPr>
                                  <w:r>
                                    <w:rPr>
                                      <w:sz w:val="21"/>
                                      <w:szCs w:val="21"/>
                                    </w:rPr>
                                    <w:t>序号</w:t>
                                  </w:r>
                                </w:p>
                              </w:tc>
                              <w:tc>
                                <w:tcPr>
                                  <w:tcW w:w="3780" w:type="dxa"/>
                                  <w:vMerge w:val="restart"/>
                                  <w:tcBorders>
                                    <w:tl2br w:val="nil"/>
                                    <w:tr2bl w:val="nil"/>
                                  </w:tcBorders>
                                </w:tcPr>
                                <w:p>
                                  <w:pPr>
                                    <w:pStyle w:val="29"/>
                                    <w:rPr>
                                      <w:sz w:val="20"/>
                                    </w:rPr>
                                  </w:pPr>
                                </w:p>
                                <w:p>
                                  <w:pPr>
                                    <w:pStyle w:val="29"/>
                                    <w:rPr>
                                      <w:sz w:val="20"/>
                                    </w:rPr>
                                  </w:pPr>
                                </w:p>
                                <w:p>
                                  <w:pPr>
                                    <w:pStyle w:val="29"/>
                                    <w:spacing w:before="135"/>
                                    <w:ind w:left="112"/>
                                    <w:jc w:val="center"/>
                                    <w:rPr>
                                      <w:sz w:val="21"/>
                                    </w:rPr>
                                  </w:pPr>
                                  <w:r>
                                    <w:rPr>
                                      <w:sz w:val="21"/>
                                      <w:szCs w:val="21"/>
                                    </w:rPr>
                                    <w:t>投标人名称</w:t>
                                  </w:r>
                                </w:p>
                              </w:tc>
                              <w:tc>
                                <w:tcPr>
                                  <w:tcW w:w="7001" w:type="dxa"/>
                                  <w:gridSpan w:val="5"/>
                                  <w:tcBorders>
                                    <w:tl2br w:val="nil"/>
                                    <w:tr2bl w:val="nil"/>
                                  </w:tcBorders>
                                </w:tcPr>
                                <w:p>
                                  <w:pPr>
                                    <w:pStyle w:val="29"/>
                                    <w:spacing w:before="161"/>
                                    <w:ind w:left="3112" w:right="2998"/>
                                    <w:jc w:val="center"/>
                                    <w:rPr>
                                      <w:sz w:val="21"/>
                                    </w:rPr>
                                  </w:pPr>
                                  <w:r>
                                    <w:rPr>
                                      <w:sz w:val="21"/>
                                      <w:szCs w:val="21"/>
                                    </w:rPr>
                                    <w:t>评标专家</w:t>
                                  </w:r>
                                </w:p>
                              </w:tc>
                              <w:tc>
                                <w:tcPr>
                                  <w:tcW w:w="1387" w:type="dxa"/>
                                  <w:vMerge w:val="restart"/>
                                  <w:tcBorders>
                                    <w:tl2br w:val="nil"/>
                                    <w:tr2bl w:val="nil"/>
                                  </w:tcBorders>
                                </w:tcPr>
                                <w:p>
                                  <w:pPr>
                                    <w:pStyle w:val="29"/>
                                    <w:spacing w:before="7"/>
                                    <w:rPr>
                                      <w:sz w:val="26"/>
                                    </w:rPr>
                                  </w:pPr>
                                </w:p>
                                <w:p>
                                  <w:pPr>
                                    <w:pStyle w:val="29"/>
                                    <w:spacing w:before="1" w:line="280" w:lineRule="auto"/>
                                    <w:ind w:left="116" w:right="48"/>
                                    <w:jc w:val="center"/>
                                    <w:rPr>
                                      <w:sz w:val="21"/>
                                    </w:rPr>
                                  </w:pPr>
                                  <w:r>
                                    <w:rPr>
                                      <w:sz w:val="21"/>
                                      <w:szCs w:val="21"/>
                                    </w:rPr>
                                    <w:t>评审结论为“通过”的百分率</w:t>
                                  </w:r>
                                </w:p>
                                <w:p>
                                  <w:pPr>
                                    <w:bidi w:val="0"/>
                                    <w:jc w:val="center"/>
                                  </w:pPr>
                                  <w:r>
                                    <w:rPr>
                                      <w:sz w:val="21"/>
                                      <w:szCs w:val="21"/>
                                    </w:rPr>
                                    <w:t>（%）</w:t>
                                  </w:r>
                                </w:p>
                              </w:tc>
                              <w:tc>
                                <w:tcPr>
                                  <w:tcW w:w="1417" w:type="dxa"/>
                                  <w:vMerge w:val="restart"/>
                                  <w:tcBorders>
                                    <w:tl2br w:val="nil"/>
                                    <w:tr2bl w:val="nil"/>
                                  </w:tcBorders>
                                </w:tcPr>
                                <w:p>
                                  <w:pPr>
                                    <w:pStyle w:val="29"/>
                                    <w:rPr>
                                      <w:sz w:val="20"/>
                                    </w:rPr>
                                  </w:pPr>
                                </w:p>
                                <w:p>
                                  <w:pPr>
                                    <w:pStyle w:val="29"/>
                                    <w:rPr>
                                      <w:sz w:val="20"/>
                                    </w:rPr>
                                  </w:pPr>
                                </w:p>
                                <w:p>
                                  <w:pPr>
                                    <w:pStyle w:val="29"/>
                                    <w:spacing w:before="135"/>
                                    <w:ind w:left="4"/>
                                    <w:jc w:val="center"/>
                                    <w:rPr>
                                      <w:sz w:val="21"/>
                                    </w:rPr>
                                  </w:pPr>
                                  <w:r>
                                    <w:rPr>
                                      <w:sz w:val="21"/>
                                      <w:szCs w:val="21"/>
                                    </w:rPr>
                                    <w:t>总体评审结论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732" w:type="dxa"/>
                                  <w:vMerge w:val="continue"/>
                                  <w:tcBorders>
                                    <w:tl2br w:val="nil"/>
                                    <w:tr2bl w:val="nil"/>
                                  </w:tcBorders>
                                </w:tcPr>
                                <w:p>
                                  <w:pPr>
                                    <w:rPr>
                                      <w:sz w:val="2"/>
                                      <w:szCs w:val="2"/>
                                    </w:rPr>
                                  </w:pPr>
                                </w:p>
                              </w:tc>
                              <w:tc>
                                <w:tcPr>
                                  <w:tcW w:w="3780" w:type="dxa"/>
                                  <w:vMerge w:val="continue"/>
                                  <w:tcBorders>
                                    <w:tl2br w:val="nil"/>
                                    <w:tr2bl w:val="nil"/>
                                  </w:tcBorders>
                                </w:tcPr>
                                <w:p>
                                  <w:pPr>
                                    <w:rPr>
                                      <w:sz w:val="2"/>
                                      <w:szCs w:val="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vMerge w:val="continue"/>
                                  <w:tcBorders>
                                    <w:tl2br w:val="nil"/>
                                    <w:tr2bl w:val="nil"/>
                                  </w:tcBorders>
                                </w:tcPr>
                                <w:p>
                                  <w:pPr>
                                    <w:rPr>
                                      <w:sz w:val="2"/>
                                      <w:szCs w:val="2"/>
                                    </w:rPr>
                                  </w:pPr>
                                </w:p>
                              </w:tc>
                              <w:tc>
                                <w:tcPr>
                                  <w:tcW w:w="1417" w:type="dxa"/>
                                  <w:vMerge w:val="continue"/>
                                  <w:tcBorders>
                                    <w:tl2br w:val="nil"/>
                                    <w:tr2bl w:val="nil"/>
                                  </w:tcBorders>
                                </w:tcPr>
                                <w:p>
                                  <w:pPr>
                                    <w:rPr>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732" w:type="dxa"/>
                                  <w:tcBorders>
                                    <w:tl2br w:val="nil"/>
                                    <w:tr2bl w:val="nil"/>
                                  </w:tcBorders>
                                  <w:vAlign w:val="center"/>
                                </w:tcPr>
                                <w:p>
                                  <w:pPr>
                                    <w:bidi w:val="0"/>
                                    <w:jc w:val="center"/>
                                    <w:rPr>
                                      <w:rFonts w:ascii="Calibri"/>
                                    </w:rPr>
                                  </w:pPr>
                                  <w:r>
                                    <w:rPr>
                                      <w:sz w:val="21"/>
                                      <w:szCs w:val="21"/>
                                    </w:rPr>
                                    <w:t>1</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732" w:type="dxa"/>
                                  <w:tcBorders>
                                    <w:tl2br w:val="nil"/>
                                    <w:tr2bl w:val="nil"/>
                                  </w:tcBorders>
                                  <w:vAlign w:val="center"/>
                                </w:tcPr>
                                <w:p>
                                  <w:pPr>
                                    <w:bidi w:val="0"/>
                                    <w:jc w:val="center"/>
                                    <w:rPr>
                                      <w:sz w:val="21"/>
                                      <w:szCs w:val="21"/>
                                    </w:rPr>
                                  </w:pPr>
                                  <w:r>
                                    <w:rPr>
                                      <w:sz w:val="21"/>
                                      <w:szCs w:val="21"/>
                                    </w:rPr>
                                    <w:t>2</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732" w:type="dxa"/>
                                  <w:tcBorders>
                                    <w:tl2br w:val="nil"/>
                                    <w:tr2bl w:val="nil"/>
                                  </w:tcBorders>
                                  <w:vAlign w:val="center"/>
                                </w:tcPr>
                                <w:p>
                                  <w:pPr>
                                    <w:bidi w:val="0"/>
                                    <w:jc w:val="center"/>
                                    <w:rPr>
                                      <w:sz w:val="21"/>
                                      <w:szCs w:val="21"/>
                                    </w:rPr>
                                  </w:pPr>
                                  <w:r>
                                    <w:rPr>
                                      <w:sz w:val="21"/>
                                      <w:szCs w:val="21"/>
                                    </w:rPr>
                                    <w:t>3</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rPr>
                              <w:tc>
                                <w:tcPr>
                                  <w:tcW w:w="732" w:type="dxa"/>
                                  <w:tcBorders>
                                    <w:tl2br w:val="nil"/>
                                    <w:tr2bl w:val="nil"/>
                                  </w:tcBorders>
                                </w:tcPr>
                                <w:p>
                                  <w:pPr>
                                    <w:pStyle w:val="29"/>
                                    <w:spacing w:before="1"/>
                                    <w:rPr>
                                      <w:sz w:val="27"/>
                                    </w:rPr>
                                  </w:pPr>
                                </w:p>
                                <w:p>
                                  <w:pPr>
                                    <w:pStyle w:val="29"/>
                                    <w:ind w:left="112"/>
                                    <w:rPr>
                                      <w:rFonts w:ascii="Calibri"/>
                                      <w:sz w:val="21"/>
                                    </w:rPr>
                                  </w:pPr>
                                  <w:r>
                                    <w:rPr>
                                      <w:rFonts w:ascii="Calibri"/>
                                      <w:sz w:val="21"/>
                                    </w:rPr>
                                    <w:t>...</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14317" w:type="dxa"/>
                                  <w:gridSpan w:val="9"/>
                                  <w:tcBorders>
                                    <w:tl2br w:val="nil"/>
                                    <w:tr2bl w:val="nil"/>
                                  </w:tcBorders>
                                </w:tcPr>
                                <w:p>
                                  <w:pPr>
                                    <w:pStyle w:val="29"/>
                                    <w:spacing w:before="8"/>
                                    <w:rPr>
                                      <w:sz w:val="26"/>
                                    </w:rPr>
                                  </w:pPr>
                                </w:p>
                                <w:p>
                                  <w:pPr>
                                    <w:pStyle w:val="29"/>
                                    <w:ind w:left="112"/>
                                    <w:rPr>
                                      <w:sz w:val="21"/>
                                    </w:rPr>
                                  </w:pPr>
                                  <w:r>
                                    <w:rPr>
                                      <w:sz w:val="21"/>
                                    </w:rPr>
                                    <w:t>说明：各评标专家评审结论为通过的在表格内打“○”，为不通过的在表格内打“×”，总体评审结论用“通过或不通过”表示。</w:t>
                                  </w:r>
                                </w:p>
                              </w:tc>
                            </w:tr>
                          </w:tbl>
                          <w:p>
                            <w:pPr>
                              <w:pStyle w:val="14"/>
                            </w:pPr>
                          </w:p>
                        </w:txbxContent>
                      </wps:txbx>
                      <wps:bodyPr lIns="0" tIns="0" rIns="0" bIns="0" upright="1"/>
                    </wps:wsp>
                  </a:graphicData>
                </a:graphic>
              </wp:anchor>
            </w:drawing>
          </mc:Choice>
          <mc:Fallback>
            <w:pict>
              <v:shape id="文本框 45" o:spid="_x0000_s1026" o:spt="202" type="#_x0000_t202" style="position:absolute;left:0pt;margin-left:72pt;margin-top:42.8pt;height:241pt;width:716.6pt;mso-position-horizontal-relative:page;z-index:251670528;mso-width-relative:page;mso-height-relative:page;" filled="f" stroked="f" coordsize="21600,21600" o:gfxdata="UEsDBAoAAAAAAIdO4kAAAAAAAAAAAAAAAAAEAAAAZHJzL1BLAwQUAAAACACHTuJAeoGrPdoAAAAL&#10;AQAADwAAAGRycy9kb3ducmV2LnhtbE2PzU7DMBCE70i8g7WVuFGnVeOUNE6FEJyQEGk4cHTibWI1&#10;XofY/eHtcU/lOJrRzDfF9mIHdsLJG0cSFvMEGFLrtKFOwlf99rgG5oMirQZHKOEXPWzL+7tC5dqd&#10;qcLTLnQslpDPlYQ+hDHn3Lc9WuXnbkSK3t5NVoUop47rSZ1juR34MkkEt8pQXOjViC89tofd0Up4&#10;/qbq1fx8NJ/VvjJ1/ZTQuzhI+TBbJBtgAS/hFoYrfkSHMjI17kjasyHq1Sp+CRLWqQB2DaRZtgTW&#10;SEhFJoCXBf//ofwDUEsDBBQAAAAIAIdO4kASukcVvgEAAHUDAAAOAAAAZHJzL2Uyb0RvYy54bWyt&#10;U0tu2zAQ3RfIHQjua9JumiaC5QCFkaBA0RZIcgCaoiwC/GFIW/IF2ht01U33PZfPkSFtOWm6yaIb&#10;ajgzevPeG2l+PVhDtgqi9q6m0wmnRDnpG+3WNX24v3l7SUlMwjXCeKdqulORXi/O3sz7UKmZ77xp&#10;FBAEcbHqQ027lELFWJSdsiJOfFAOi60HKxJeYc0aED2iW8NmnF+w3kMTwEsVI2aXhyI9IsJrAH3b&#10;aqmWXm6scumACsqIhJJip0Oki8K2bZVMX9s2qkRMTVFpKicOwXiVT7aYi2oNInRaHimI11B4ockK&#10;7XDoCWopkiAb0P9AWS3BR9+mifSWHYQUR1DFlL/w5q4TQRUtaHUMJ9Pj/4OVX7bfgOimpudoiRMW&#10;N77/+WP/68/+93dy/j4b1IdYYd9dwM40fPQDfjZjPmIy6x5asPmJigjWEWt3slcNiUhMXk05v5xh&#10;SWLtHb/gH3hZAHt6PUBMt8pbkoOaAu6v2Cq2n2NCKtg6tuRpzt9oY8oOjfsrgY05wzL3A8ccpWE1&#10;HAWtfLNDPeaTQzeRUxoDGIPVGGwC6HWHdIrqAonbKGSOX05e9/N7Gfz0tyw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qBqz3aAAAACwEAAA8AAAAAAAAAAQAgAAAAIgAAAGRycy9kb3ducmV2Lnht&#10;bFBLAQIUABQAAAAIAIdO4kASukcVvgEAAHUDAAAOAAAAAAAAAAEAIAAAACkBAABkcnMvZTJvRG9j&#10;LnhtbFBLBQYAAAAABgAGAFkBAABZBQAAAAA=&#10;">
                <v:fill on="f" focussize="0,0"/>
                <v:stroke on="f"/>
                <v:imagedata o:title=""/>
                <o:lock v:ext="edit" aspectratio="f"/>
                <v:textbox inset="0mm,0mm,0mm,0mm">
                  <w:txbxContent>
                    <w:tbl>
                      <w:tblPr>
                        <w:tblStyle w:val="23"/>
                        <w:tblW w:w="14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3780"/>
                        <w:gridCol w:w="1401"/>
                        <w:gridCol w:w="1399"/>
                        <w:gridCol w:w="1401"/>
                        <w:gridCol w:w="1399"/>
                        <w:gridCol w:w="1401"/>
                        <w:gridCol w:w="138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732" w:type="dxa"/>
                            <w:vMerge w:val="restart"/>
                            <w:tcBorders>
                              <w:tl2br w:val="nil"/>
                              <w:tr2bl w:val="nil"/>
                            </w:tcBorders>
                          </w:tcPr>
                          <w:p>
                            <w:pPr>
                              <w:pStyle w:val="29"/>
                              <w:rPr>
                                <w:sz w:val="20"/>
                              </w:rPr>
                            </w:pPr>
                          </w:p>
                          <w:p>
                            <w:pPr>
                              <w:pStyle w:val="29"/>
                              <w:rPr>
                                <w:sz w:val="20"/>
                              </w:rPr>
                            </w:pPr>
                          </w:p>
                          <w:p>
                            <w:pPr>
                              <w:pStyle w:val="29"/>
                              <w:spacing w:before="135"/>
                              <w:ind w:left="112"/>
                              <w:rPr>
                                <w:sz w:val="21"/>
                              </w:rPr>
                            </w:pPr>
                            <w:r>
                              <w:rPr>
                                <w:sz w:val="21"/>
                                <w:szCs w:val="21"/>
                              </w:rPr>
                              <w:t>序号</w:t>
                            </w:r>
                          </w:p>
                        </w:tc>
                        <w:tc>
                          <w:tcPr>
                            <w:tcW w:w="3780" w:type="dxa"/>
                            <w:vMerge w:val="restart"/>
                            <w:tcBorders>
                              <w:tl2br w:val="nil"/>
                              <w:tr2bl w:val="nil"/>
                            </w:tcBorders>
                          </w:tcPr>
                          <w:p>
                            <w:pPr>
                              <w:pStyle w:val="29"/>
                              <w:rPr>
                                <w:sz w:val="20"/>
                              </w:rPr>
                            </w:pPr>
                          </w:p>
                          <w:p>
                            <w:pPr>
                              <w:pStyle w:val="29"/>
                              <w:rPr>
                                <w:sz w:val="20"/>
                              </w:rPr>
                            </w:pPr>
                          </w:p>
                          <w:p>
                            <w:pPr>
                              <w:pStyle w:val="29"/>
                              <w:spacing w:before="135"/>
                              <w:ind w:left="112"/>
                              <w:jc w:val="center"/>
                              <w:rPr>
                                <w:sz w:val="21"/>
                              </w:rPr>
                            </w:pPr>
                            <w:r>
                              <w:rPr>
                                <w:sz w:val="21"/>
                                <w:szCs w:val="21"/>
                              </w:rPr>
                              <w:t>投标人名称</w:t>
                            </w:r>
                          </w:p>
                        </w:tc>
                        <w:tc>
                          <w:tcPr>
                            <w:tcW w:w="7001" w:type="dxa"/>
                            <w:gridSpan w:val="5"/>
                            <w:tcBorders>
                              <w:tl2br w:val="nil"/>
                              <w:tr2bl w:val="nil"/>
                            </w:tcBorders>
                          </w:tcPr>
                          <w:p>
                            <w:pPr>
                              <w:pStyle w:val="29"/>
                              <w:spacing w:before="161"/>
                              <w:ind w:left="3112" w:right="2998"/>
                              <w:jc w:val="center"/>
                              <w:rPr>
                                <w:sz w:val="21"/>
                              </w:rPr>
                            </w:pPr>
                            <w:r>
                              <w:rPr>
                                <w:sz w:val="21"/>
                                <w:szCs w:val="21"/>
                              </w:rPr>
                              <w:t>评标专家</w:t>
                            </w:r>
                          </w:p>
                        </w:tc>
                        <w:tc>
                          <w:tcPr>
                            <w:tcW w:w="1387" w:type="dxa"/>
                            <w:vMerge w:val="restart"/>
                            <w:tcBorders>
                              <w:tl2br w:val="nil"/>
                              <w:tr2bl w:val="nil"/>
                            </w:tcBorders>
                          </w:tcPr>
                          <w:p>
                            <w:pPr>
                              <w:pStyle w:val="29"/>
                              <w:spacing w:before="7"/>
                              <w:rPr>
                                <w:sz w:val="26"/>
                              </w:rPr>
                            </w:pPr>
                          </w:p>
                          <w:p>
                            <w:pPr>
                              <w:pStyle w:val="29"/>
                              <w:spacing w:before="1" w:line="280" w:lineRule="auto"/>
                              <w:ind w:left="116" w:right="48"/>
                              <w:jc w:val="center"/>
                              <w:rPr>
                                <w:sz w:val="21"/>
                              </w:rPr>
                            </w:pPr>
                            <w:r>
                              <w:rPr>
                                <w:sz w:val="21"/>
                                <w:szCs w:val="21"/>
                              </w:rPr>
                              <w:t>评审结论为“通过”的百分率</w:t>
                            </w:r>
                          </w:p>
                          <w:p>
                            <w:pPr>
                              <w:bidi w:val="0"/>
                              <w:jc w:val="center"/>
                            </w:pPr>
                            <w:r>
                              <w:rPr>
                                <w:sz w:val="21"/>
                                <w:szCs w:val="21"/>
                              </w:rPr>
                              <w:t>（%）</w:t>
                            </w:r>
                          </w:p>
                        </w:tc>
                        <w:tc>
                          <w:tcPr>
                            <w:tcW w:w="1417" w:type="dxa"/>
                            <w:vMerge w:val="restart"/>
                            <w:tcBorders>
                              <w:tl2br w:val="nil"/>
                              <w:tr2bl w:val="nil"/>
                            </w:tcBorders>
                          </w:tcPr>
                          <w:p>
                            <w:pPr>
                              <w:pStyle w:val="29"/>
                              <w:rPr>
                                <w:sz w:val="20"/>
                              </w:rPr>
                            </w:pPr>
                          </w:p>
                          <w:p>
                            <w:pPr>
                              <w:pStyle w:val="29"/>
                              <w:rPr>
                                <w:sz w:val="20"/>
                              </w:rPr>
                            </w:pPr>
                          </w:p>
                          <w:p>
                            <w:pPr>
                              <w:pStyle w:val="29"/>
                              <w:spacing w:before="135"/>
                              <w:ind w:left="4"/>
                              <w:jc w:val="center"/>
                              <w:rPr>
                                <w:sz w:val="21"/>
                              </w:rPr>
                            </w:pPr>
                            <w:r>
                              <w:rPr>
                                <w:sz w:val="21"/>
                                <w:szCs w:val="21"/>
                              </w:rPr>
                              <w:t>总体评审结论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732" w:type="dxa"/>
                            <w:vMerge w:val="continue"/>
                            <w:tcBorders>
                              <w:tl2br w:val="nil"/>
                              <w:tr2bl w:val="nil"/>
                            </w:tcBorders>
                          </w:tcPr>
                          <w:p>
                            <w:pPr>
                              <w:rPr>
                                <w:sz w:val="2"/>
                                <w:szCs w:val="2"/>
                              </w:rPr>
                            </w:pPr>
                          </w:p>
                        </w:tc>
                        <w:tc>
                          <w:tcPr>
                            <w:tcW w:w="3780" w:type="dxa"/>
                            <w:vMerge w:val="continue"/>
                            <w:tcBorders>
                              <w:tl2br w:val="nil"/>
                              <w:tr2bl w:val="nil"/>
                            </w:tcBorders>
                          </w:tcPr>
                          <w:p>
                            <w:pPr>
                              <w:rPr>
                                <w:sz w:val="2"/>
                                <w:szCs w:val="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vMerge w:val="continue"/>
                            <w:tcBorders>
                              <w:tl2br w:val="nil"/>
                              <w:tr2bl w:val="nil"/>
                            </w:tcBorders>
                          </w:tcPr>
                          <w:p>
                            <w:pPr>
                              <w:rPr>
                                <w:sz w:val="2"/>
                                <w:szCs w:val="2"/>
                              </w:rPr>
                            </w:pPr>
                          </w:p>
                        </w:tc>
                        <w:tc>
                          <w:tcPr>
                            <w:tcW w:w="1417" w:type="dxa"/>
                            <w:vMerge w:val="continue"/>
                            <w:tcBorders>
                              <w:tl2br w:val="nil"/>
                              <w:tr2bl w:val="nil"/>
                            </w:tcBorders>
                          </w:tcPr>
                          <w:p>
                            <w:pPr>
                              <w:rPr>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732" w:type="dxa"/>
                            <w:tcBorders>
                              <w:tl2br w:val="nil"/>
                              <w:tr2bl w:val="nil"/>
                            </w:tcBorders>
                            <w:vAlign w:val="center"/>
                          </w:tcPr>
                          <w:p>
                            <w:pPr>
                              <w:bidi w:val="0"/>
                              <w:jc w:val="center"/>
                              <w:rPr>
                                <w:rFonts w:ascii="Calibri"/>
                              </w:rPr>
                            </w:pPr>
                            <w:r>
                              <w:rPr>
                                <w:sz w:val="21"/>
                                <w:szCs w:val="21"/>
                              </w:rPr>
                              <w:t>1</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732" w:type="dxa"/>
                            <w:tcBorders>
                              <w:tl2br w:val="nil"/>
                              <w:tr2bl w:val="nil"/>
                            </w:tcBorders>
                            <w:vAlign w:val="center"/>
                          </w:tcPr>
                          <w:p>
                            <w:pPr>
                              <w:bidi w:val="0"/>
                              <w:jc w:val="center"/>
                              <w:rPr>
                                <w:sz w:val="21"/>
                                <w:szCs w:val="21"/>
                              </w:rPr>
                            </w:pPr>
                            <w:r>
                              <w:rPr>
                                <w:sz w:val="21"/>
                                <w:szCs w:val="21"/>
                              </w:rPr>
                              <w:t>2</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732" w:type="dxa"/>
                            <w:tcBorders>
                              <w:tl2br w:val="nil"/>
                              <w:tr2bl w:val="nil"/>
                            </w:tcBorders>
                            <w:vAlign w:val="center"/>
                          </w:tcPr>
                          <w:p>
                            <w:pPr>
                              <w:bidi w:val="0"/>
                              <w:jc w:val="center"/>
                              <w:rPr>
                                <w:sz w:val="21"/>
                                <w:szCs w:val="21"/>
                              </w:rPr>
                            </w:pPr>
                            <w:r>
                              <w:rPr>
                                <w:sz w:val="21"/>
                                <w:szCs w:val="21"/>
                              </w:rPr>
                              <w:t>3</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rPr>
                        <w:tc>
                          <w:tcPr>
                            <w:tcW w:w="732" w:type="dxa"/>
                            <w:tcBorders>
                              <w:tl2br w:val="nil"/>
                              <w:tr2bl w:val="nil"/>
                            </w:tcBorders>
                          </w:tcPr>
                          <w:p>
                            <w:pPr>
                              <w:pStyle w:val="29"/>
                              <w:spacing w:before="1"/>
                              <w:rPr>
                                <w:sz w:val="27"/>
                              </w:rPr>
                            </w:pPr>
                          </w:p>
                          <w:p>
                            <w:pPr>
                              <w:pStyle w:val="29"/>
                              <w:ind w:left="112"/>
                              <w:rPr>
                                <w:rFonts w:ascii="Calibri"/>
                                <w:sz w:val="21"/>
                              </w:rPr>
                            </w:pPr>
                            <w:r>
                              <w:rPr>
                                <w:rFonts w:ascii="Calibri"/>
                                <w:sz w:val="21"/>
                              </w:rPr>
                              <w:t>...</w:t>
                            </w:r>
                          </w:p>
                        </w:tc>
                        <w:tc>
                          <w:tcPr>
                            <w:tcW w:w="3780"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99" w:type="dxa"/>
                            <w:tcBorders>
                              <w:tl2br w:val="nil"/>
                              <w:tr2bl w:val="nil"/>
                            </w:tcBorders>
                          </w:tcPr>
                          <w:p>
                            <w:pPr>
                              <w:pStyle w:val="29"/>
                              <w:rPr>
                                <w:rFonts w:ascii="Times New Roman"/>
                                <w:sz w:val="22"/>
                              </w:rPr>
                            </w:pPr>
                          </w:p>
                        </w:tc>
                        <w:tc>
                          <w:tcPr>
                            <w:tcW w:w="1401" w:type="dxa"/>
                            <w:tcBorders>
                              <w:tl2br w:val="nil"/>
                              <w:tr2bl w:val="nil"/>
                            </w:tcBorders>
                          </w:tcPr>
                          <w:p>
                            <w:pPr>
                              <w:pStyle w:val="29"/>
                              <w:rPr>
                                <w:rFonts w:ascii="Times New Roman"/>
                                <w:sz w:val="22"/>
                              </w:rPr>
                            </w:pPr>
                          </w:p>
                        </w:tc>
                        <w:tc>
                          <w:tcPr>
                            <w:tcW w:w="1387" w:type="dxa"/>
                            <w:tcBorders>
                              <w:tl2br w:val="nil"/>
                              <w:tr2bl w:val="nil"/>
                            </w:tcBorders>
                          </w:tcPr>
                          <w:p>
                            <w:pPr>
                              <w:pStyle w:val="29"/>
                              <w:rPr>
                                <w:rFonts w:ascii="Times New Roman"/>
                                <w:sz w:val="22"/>
                              </w:rPr>
                            </w:pPr>
                          </w:p>
                        </w:tc>
                        <w:tc>
                          <w:tcPr>
                            <w:tcW w:w="1417" w:type="dxa"/>
                            <w:tcBorders>
                              <w:tl2br w:val="nil"/>
                              <w:tr2bl w:val="nil"/>
                            </w:tcBorders>
                          </w:tcPr>
                          <w:p>
                            <w:pPr>
                              <w:pStyle w:val="29"/>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14317" w:type="dxa"/>
                            <w:gridSpan w:val="9"/>
                            <w:tcBorders>
                              <w:tl2br w:val="nil"/>
                              <w:tr2bl w:val="nil"/>
                            </w:tcBorders>
                          </w:tcPr>
                          <w:p>
                            <w:pPr>
                              <w:pStyle w:val="29"/>
                              <w:spacing w:before="8"/>
                              <w:rPr>
                                <w:sz w:val="26"/>
                              </w:rPr>
                            </w:pPr>
                          </w:p>
                          <w:p>
                            <w:pPr>
                              <w:pStyle w:val="29"/>
                              <w:ind w:left="112"/>
                              <w:rPr>
                                <w:sz w:val="21"/>
                              </w:rPr>
                            </w:pPr>
                            <w:r>
                              <w:rPr>
                                <w:sz w:val="21"/>
                              </w:rPr>
                              <w:t>说明：各评标专家评审结论为通过的在表格内打“○”，为不通过的在表格内打“×”，总体评审结论用“通过或不通过”表示。</w:t>
                            </w:r>
                          </w:p>
                        </w:tc>
                      </w:tr>
                    </w:tbl>
                    <w:p>
                      <w:pPr>
                        <w:pStyle w:val="14"/>
                      </w:pPr>
                    </w:p>
                  </w:txbxContent>
                </v:textbox>
              </v:shape>
            </w:pict>
          </mc:Fallback>
        </mc:AlternateContent>
      </w:r>
      <w:r>
        <w:rPr>
          <w:rFonts w:hint="eastAsia"/>
          <w:color w:val="auto"/>
          <w:highlight w:val="none"/>
          <w:lang w:val="en-US" w:eastAsia="zh-CN"/>
        </w:rPr>
        <w:t>工程名称</w:t>
      </w:r>
      <w:r>
        <w:rPr>
          <w:rFonts w:hint="eastAsia"/>
          <w:color w:val="auto"/>
          <w:sz w:val="24"/>
          <w:szCs w:val="24"/>
          <w:highlight w:val="none"/>
        </w:rPr>
        <w:t>：</w:t>
      </w:r>
      <w:r>
        <w:rPr>
          <w:rFonts w:hint="eastAsia"/>
          <w:color w:val="auto"/>
          <w:sz w:val="24"/>
          <w:szCs w:val="24"/>
          <w:highlight w:val="none"/>
          <w:lang w:eastAsia="zh-CN"/>
        </w:rPr>
        <w:t>云安区生猪产业园—优质生猪标准化规模养殖基地项目</w:t>
      </w:r>
      <w:r>
        <w:rPr>
          <w:rFonts w:hint="eastAsia"/>
          <w:color w:val="auto"/>
          <w:sz w:val="24"/>
          <w:szCs w:val="24"/>
          <w:highlight w:val="none"/>
          <w:lang w:val="en-US" w:eastAsia="zh-CN"/>
        </w:rPr>
        <w:t xml:space="preserve">                   日 期： 年 月 日</w:t>
      </w: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spacing w:before="11"/>
        <w:rPr>
          <w:color w:val="auto"/>
          <w:sz w:val="16"/>
          <w:highlight w:val="none"/>
        </w:rPr>
      </w:pPr>
    </w:p>
    <w:p>
      <w:pPr>
        <w:pStyle w:val="10"/>
        <w:spacing w:before="1"/>
        <w:ind w:left="340"/>
        <w:rPr>
          <w:color w:val="auto"/>
          <w:highlight w:val="none"/>
        </w:rPr>
      </w:pPr>
      <w:r>
        <w:rPr>
          <w:color w:val="auto"/>
          <w:highlight w:val="none"/>
        </w:rPr>
        <w:t>评委（签名）：</w:t>
      </w:r>
    </w:p>
    <w:p>
      <w:pPr>
        <w:spacing w:after="0"/>
        <w:rPr>
          <w:color w:val="auto"/>
          <w:highlight w:val="none"/>
        </w:rPr>
        <w:sectPr>
          <w:pgSz w:w="16840" w:h="11910" w:orient="landscape"/>
          <w:pgMar w:top="1100" w:right="960" w:bottom="1240" w:left="1100" w:header="0" w:footer="1059" w:gutter="0"/>
          <w:pgBorders>
            <w:top w:val="none" w:sz="0" w:space="0"/>
            <w:left w:val="none" w:sz="0" w:space="0"/>
            <w:bottom w:val="none" w:sz="0" w:space="0"/>
            <w:right w:val="none" w:sz="0" w:space="0"/>
          </w:pgBorders>
          <w:pgNumType w:fmt="decimal"/>
          <w:cols w:space="720" w:num="1"/>
        </w:sectPr>
      </w:pPr>
    </w:p>
    <w:p>
      <w:pPr>
        <w:jc w:val="center"/>
        <w:rPr>
          <w:rFonts w:hint="eastAsia" w:ascii="宋体" w:hAnsi="宋体" w:eastAsia="宋体" w:cs="宋体"/>
          <w:b/>
          <w:bCs/>
          <w:color w:val="000000"/>
          <w:sz w:val="28"/>
          <w:szCs w:val="28"/>
          <w:lang w:val="zh-CN" w:bidi="zh-CN"/>
        </w:rPr>
      </w:pPr>
      <w:r>
        <w:rPr>
          <w:rFonts w:hint="eastAsia" w:ascii="宋体" w:hAnsi="宋体" w:eastAsia="宋体" w:cs="宋体"/>
          <w:b/>
          <w:bCs/>
          <w:color w:val="000000"/>
          <w:sz w:val="28"/>
          <w:szCs w:val="28"/>
          <w:lang w:val="zh-CN" w:bidi="zh-CN"/>
        </w:rPr>
        <w:t>通过审查的投标人汇总表</w:t>
      </w:r>
    </w:p>
    <w:p>
      <w:pPr>
        <w:jc w:val="both"/>
        <w:rPr>
          <w:rFonts w:hint="eastAsia" w:ascii="宋体" w:hAnsi="宋体" w:eastAsia="宋体" w:cs="宋体"/>
          <w:b/>
          <w:bCs/>
          <w:color w:val="000000"/>
          <w:sz w:val="28"/>
          <w:szCs w:val="28"/>
          <w:lang w:val="zh-CN" w:bidi="zh-CN"/>
        </w:rPr>
      </w:pPr>
    </w:p>
    <w:p>
      <w:pPr>
        <w:ind w:firstLine="482" w:firstLineChars="200"/>
        <w:jc w:val="both"/>
        <w:rPr>
          <w:rFonts w:hint="eastAsia" w:hAnsi="宋体"/>
          <w:b/>
          <w:sz w:val="24"/>
          <w:szCs w:val="24"/>
        </w:rPr>
      </w:pPr>
      <w:r>
        <w:rPr>
          <w:rFonts w:hint="eastAsia" w:hAnsi="宋体"/>
          <w:b/>
          <w:sz w:val="24"/>
          <w:szCs w:val="24"/>
        </w:rPr>
        <w:t>工程名称：</w:t>
      </w:r>
      <w:r>
        <w:rPr>
          <w:rFonts w:hint="eastAsia"/>
          <w:b/>
          <w:sz w:val="24"/>
          <w:szCs w:val="24"/>
          <w:lang w:eastAsia="zh-CN"/>
        </w:rPr>
        <w:t>云安区生猪产业园—优质生猪标准化规模养殖基地项目</w:t>
      </w:r>
    </w:p>
    <w:p>
      <w:pPr>
        <w:ind w:firstLine="482" w:firstLineChars="200"/>
        <w:rPr>
          <w:rFonts w:hint="eastAsia" w:hAnsi="宋体"/>
          <w:b/>
          <w:sz w:val="24"/>
          <w:szCs w:val="24"/>
          <w:lang w:eastAsia="zh-CN"/>
        </w:rPr>
      </w:pPr>
      <w:r>
        <w:rPr>
          <w:rFonts w:hint="eastAsia" w:hAnsi="宋体"/>
          <w:b/>
          <w:sz w:val="24"/>
          <w:szCs w:val="24"/>
        </w:rPr>
        <w:t>日    期</w:t>
      </w:r>
      <w:r>
        <w:rPr>
          <w:rFonts w:hint="eastAsia" w:hAnsi="宋体"/>
          <w:b/>
          <w:sz w:val="24"/>
          <w:szCs w:val="24"/>
          <w:lang w:eastAsia="zh-CN"/>
        </w:rPr>
        <w:t>：</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1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2669" w:type="dxa"/>
            <w:noWrap w:val="0"/>
            <w:vAlign w:val="center"/>
          </w:tcPr>
          <w:p>
            <w:pPr>
              <w:jc w:val="center"/>
              <w:rPr>
                <w:sz w:val="22"/>
                <w:szCs w:val="22"/>
              </w:rPr>
            </w:pPr>
            <w:r>
              <w:rPr>
                <w:rFonts w:hint="eastAsia"/>
                <w:sz w:val="22"/>
                <w:szCs w:val="22"/>
              </w:rPr>
              <w:t>序号</w:t>
            </w:r>
          </w:p>
        </w:tc>
        <w:tc>
          <w:tcPr>
            <w:tcW w:w="11190" w:type="dxa"/>
            <w:noWrap w:val="0"/>
            <w:vAlign w:val="center"/>
          </w:tcPr>
          <w:p>
            <w:pPr>
              <w:rPr>
                <w:sz w:val="22"/>
                <w:szCs w:val="22"/>
              </w:rPr>
            </w:pPr>
            <w:r>
              <w:rPr>
                <w:rFonts w:hint="eastAsia"/>
                <w:sz w:val="22"/>
                <w:szCs w:val="22"/>
              </w:rPr>
              <w:t>通过资格审查的投标人名称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669" w:type="dxa"/>
            <w:noWrap w:val="0"/>
            <w:vAlign w:val="center"/>
          </w:tcPr>
          <w:p>
            <w:pPr>
              <w:jc w:val="center"/>
              <w:rPr>
                <w:sz w:val="22"/>
                <w:szCs w:val="22"/>
              </w:rPr>
            </w:pPr>
          </w:p>
          <w:p>
            <w:pPr>
              <w:jc w:val="center"/>
              <w:rPr>
                <w:sz w:val="22"/>
                <w:szCs w:val="22"/>
              </w:rPr>
            </w:pPr>
            <w:r>
              <w:rPr>
                <w:rFonts w:hint="eastAsia"/>
                <w:sz w:val="22"/>
                <w:szCs w:val="22"/>
              </w:rPr>
              <w:t>1</w:t>
            </w:r>
          </w:p>
        </w:tc>
        <w:tc>
          <w:tcPr>
            <w:tcW w:w="11190" w:type="dxa"/>
            <w:noWrap w:val="0"/>
            <w:vAlign w:val="center"/>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669" w:type="dxa"/>
            <w:noWrap w:val="0"/>
            <w:vAlign w:val="center"/>
          </w:tcPr>
          <w:p>
            <w:pPr>
              <w:jc w:val="center"/>
              <w:rPr>
                <w:sz w:val="22"/>
                <w:szCs w:val="22"/>
              </w:rPr>
            </w:pPr>
          </w:p>
          <w:p>
            <w:pPr>
              <w:jc w:val="center"/>
              <w:rPr>
                <w:sz w:val="22"/>
                <w:szCs w:val="22"/>
              </w:rPr>
            </w:pPr>
            <w:r>
              <w:rPr>
                <w:rFonts w:hint="eastAsia"/>
                <w:sz w:val="22"/>
                <w:szCs w:val="22"/>
              </w:rPr>
              <w:t>2</w:t>
            </w:r>
          </w:p>
        </w:tc>
        <w:tc>
          <w:tcPr>
            <w:tcW w:w="11190" w:type="dxa"/>
            <w:noWrap w:val="0"/>
            <w:vAlign w:val="center"/>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669" w:type="dxa"/>
            <w:noWrap w:val="0"/>
            <w:vAlign w:val="center"/>
          </w:tcPr>
          <w:p>
            <w:pPr>
              <w:jc w:val="center"/>
              <w:rPr>
                <w:sz w:val="22"/>
                <w:szCs w:val="22"/>
              </w:rPr>
            </w:pPr>
          </w:p>
          <w:p>
            <w:pPr>
              <w:jc w:val="center"/>
              <w:rPr>
                <w:sz w:val="22"/>
                <w:szCs w:val="22"/>
              </w:rPr>
            </w:pPr>
            <w:r>
              <w:rPr>
                <w:rFonts w:hint="eastAsia"/>
                <w:sz w:val="22"/>
                <w:szCs w:val="22"/>
              </w:rPr>
              <w:t>3</w:t>
            </w:r>
          </w:p>
        </w:tc>
        <w:tc>
          <w:tcPr>
            <w:tcW w:w="11190" w:type="dxa"/>
            <w:noWrap w:val="0"/>
            <w:vAlign w:val="center"/>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669" w:type="dxa"/>
            <w:noWrap w:val="0"/>
            <w:vAlign w:val="center"/>
          </w:tcPr>
          <w:p>
            <w:pPr>
              <w:jc w:val="center"/>
              <w:rPr>
                <w:sz w:val="22"/>
                <w:szCs w:val="22"/>
              </w:rPr>
            </w:pPr>
          </w:p>
          <w:p>
            <w:pPr>
              <w:jc w:val="center"/>
              <w:rPr>
                <w:sz w:val="22"/>
                <w:szCs w:val="22"/>
              </w:rPr>
            </w:pPr>
            <w:r>
              <w:rPr>
                <w:rFonts w:hint="eastAsia"/>
                <w:sz w:val="22"/>
                <w:szCs w:val="22"/>
              </w:rPr>
              <w:t>4</w:t>
            </w:r>
          </w:p>
        </w:tc>
        <w:tc>
          <w:tcPr>
            <w:tcW w:w="11190" w:type="dxa"/>
            <w:noWrap w:val="0"/>
            <w:vAlign w:val="center"/>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669" w:type="dxa"/>
            <w:noWrap w:val="0"/>
            <w:vAlign w:val="center"/>
          </w:tcPr>
          <w:p>
            <w:pPr>
              <w:jc w:val="center"/>
              <w:rPr>
                <w:sz w:val="22"/>
                <w:szCs w:val="22"/>
              </w:rPr>
            </w:pPr>
            <w:r>
              <w:rPr>
                <w:rFonts w:hint="eastAsia"/>
                <w:sz w:val="22"/>
                <w:szCs w:val="22"/>
              </w:rPr>
              <w:t>.......</w:t>
            </w:r>
          </w:p>
        </w:tc>
        <w:tc>
          <w:tcPr>
            <w:tcW w:w="11190" w:type="dxa"/>
            <w:noWrap w:val="0"/>
            <w:vAlign w:val="center"/>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669" w:type="dxa"/>
            <w:noWrap w:val="0"/>
            <w:vAlign w:val="center"/>
          </w:tcPr>
          <w:p>
            <w:pPr>
              <w:jc w:val="center"/>
              <w:rPr>
                <w:sz w:val="22"/>
                <w:szCs w:val="22"/>
              </w:rPr>
            </w:pPr>
            <w:r>
              <w:rPr>
                <w:rFonts w:hint="eastAsia"/>
                <w:sz w:val="22"/>
                <w:szCs w:val="22"/>
              </w:rPr>
              <w:t>序号</w:t>
            </w:r>
          </w:p>
        </w:tc>
        <w:tc>
          <w:tcPr>
            <w:tcW w:w="11190" w:type="dxa"/>
            <w:noWrap w:val="0"/>
            <w:vAlign w:val="center"/>
          </w:tcPr>
          <w:p>
            <w:pPr>
              <w:rPr>
                <w:sz w:val="22"/>
                <w:szCs w:val="22"/>
              </w:rPr>
            </w:pPr>
            <w:r>
              <w:rPr>
                <w:rFonts w:hint="eastAsia"/>
                <w:sz w:val="22"/>
                <w:szCs w:val="22"/>
                <w:lang w:eastAsia="zh-CN"/>
              </w:rPr>
              <w:t>不</w:t>
            </w:r>
            <w:r>
              <w:rPr>
                <w:rFonts w:hint="eastAsia"/>
                <w:sz w:val="22"/>
                <w:szCs w:val="22"/>
              </w:rPr>
              <w:t>通过资格审查的投标人名称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669" w:type="dxa"/>
            <w:noWrap w:val="0"/>
            <w:vAlign w:val="center"/>
          </w:tcPr>
          <w:p>
            <w:pPr>
              <w:jc w:val="center"/>
              <w:rPr>
                <w:sz w:val="22"/>
                <w:szCs w:val="22"/>
              </w:rPr>
            </w:pPr>
            <w:r>
              <w:rPr>
                <w:rFonts w:hint="eastAsia"/>
                <w:sz w:val="22"/>
                <w:szCs w:val="22"/>
              </w:rPr>
              <w:t>1</w:t>
            </w:r>
          </w:p>
        </w:tc>
        <w:tc>
          <w:tcPr>
            <w:tcW w:w="11190" w:type="dxa"/>
            <w:noWrap w:val="0"/>
            <w:vAlign w:val="center"/>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69" w:type="dxa"/>
            <w:noWrap w:val="0"/>
            <w:vAlign w:val="center"/>
          </w:tcPr>
          <w:p>
            <w:pPr>
              <w:jc w:val="center"/>
              <w:rPr>
                <w:sz w:val="22"/>
                <w:szCs w:val="22"/>
              </w:rPr>
            </w:pPr>
            <w:r>
              <w:rPr>
                <w:rFonts w:hint="eastAsia"/>
                <w:sz w:val="22"/>
                <w:szCs w:val="22"/>
              </w:rPr>
              <w:t>......</w:t>
            </w:r>
          </w:p>
        </w:tc>
        <w:tc>
          <w:tcPr>
            <w:tcW w:w="11190" w:type="dxa"/>
            <w:noWrap w:val="0"/>
            <w:vAlign w:val="center"/>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2669" w:type="dxa"/>
            <w:noWrap w:val="0"/>
            <w:vAlign w:val="center"/>
          </w:tcPr>
          <w:p>
            <w:pPr>
              <w:jc w:val="center"/>
              <w:rPr>
                <w:sz w:val="22"/>
                <w:szCs w:val="22"/>
              </w:rPr>
            </w:pPr>
            <w:r>
              <w:rPr>
                <w:rFonts w:hint="eastAsia"/>
                <w:sz w:val="22"/>
                <w:szCs w:val="22"/>
              </w:rPr>
              <w:t>否决情况说明</w:t>
            </w:r>
          </w:p>
        </w:tc>
        <w:tc>
          <w:tcPr>
            <w:tcW w:w="11190" w:type="dxa"/>
            <w:noWrap w:val="0"/>
            <w:vAlign w:val="center"/>
          </w:tcPr>
          <w:p>
            <w:pPr>
              <w:rPr>
                <w:sz w:val="22"/>
                <w:szCs w:val="22"/>
              </w:rPr>
            </w:pPr>
          </w:p>
        </w:tc>
      </w:tr>
    </w:tbl>
    <w:p>
      <w:pPr>
        <w:pStyle w:val="2"/>
        <w:ind w:firstLine="660" w:firstLineChars="300"/>
        <w:rPr>
          <w:sz w:val="22"/>
          <w:szCs w:val="22"/>
        </w:rPr>
      </w:pPr>
    </w:p>
    <w:p>
      <w:pPr>
        <w:pStyle w:val="2"/>
        <w:ind w:firstLine="660" w:firstLineChars="300"/>
        <w:rPr>
          <w:rFonts w:hint="eastAsia"/>
          <w:lang w:eastAsia="zh-CN"/>
        </w:rPr>
      </w:pPr>
      <w:r>
        <w:rPr>
          <w:sz w:val="22"/>
          <w:szCs w:val="22"/>
        </w:rPr>
        <w:t>评委（签名）：</w:t>
      </w:r>
    </w:p>
    <w:p>
      <w:pPr>
        <w:pStyle w:val="2"/>
        <w:rPr>
          <w:rFonts w:hint="eastAsia"/>
          <w:lang w:val="zh-CN"/>
        </w:rPr>
      </w:pPr>
    </w:p>
    <w:p>
      <w:pPr>
        <w:pStyle w:val="2"/>
      </w:pPr>
    </w:p>
    <w:p>
      <w:pPr>
        <w:spacing w:before="79"/>
        <w:ind w:left="3789" w:right="5098" w:firstLine="0"/>
        <w:jc w:val="center"/>
        <w:rPr>
          <w:b/>
          <w:color w:val="auto"/>
          <w:sz w:val="32"/>
          <w:highlight w:val="none"/>
        </w:rPr>
      </w:pPr>
    </w:p>
    <w:p>
      <w:pPr>
        <w:spacing w:before="79"/>
        <w:ind w:left="3789" w:right="5098" w:firstLine="0"/>
        <w:jc w:val="center"/>
        <w:rPr>
          <w:b/>
          <w:color w:val="auto"/>
          <w:sz w:val="32"/>
          <w:highlight w:val="none"/>
        </w:rPr>
      </w:pPr>
      <w:r>
        <w:rPr>
          <w:b/>
          <w:color w:val="auto"/>
          <w:sz w:val="32"/>
          <w:highlight w:val="none"/>
        </w:rPr>
        <w:t>投标报价评审表</w:t>
      </w:r>
    </w:p>
    <w:p>
      <w:pPr>
        <w:pStyle w:val="14"/>
        <w:spacing w:before="12"/>
        <w:rPr>
          <w:b/>
          <w:color w:val="auto"/>
          <w:sz w:val="32"/>
          <w:highlight w:val="none"/>
        </w:rPr>
      </w:pPr>
    </w:p>
    <w:p>
      <w:pPr>
        <w:ind w:firstLine="240" w:firstLineChars="100"/>
        <w:rPr>
          <w:color w:val="auto"/>
          <w:sz w:val="24"/>
          <w:szCs w:val="24"/>
          <w:highlight w:val="none"/>
        </w:rPr>
      </w:pPr>
      <w:r>
        <w:rPr>
          <w:rFonts w:hint="eastAsia"/>
          <w:color w:val="auto"/>
          <w:sz w:val="24"/>
          <w:szCs w:val="24"/>
          <w:highlight w:val="none"/>
          <w:lang w:val="en-US" w:eastAsia="zh-CN"/>
        </w:rPr>
        <w:t>工程名称</w:t>
      </w:r>
      <w:r>
        <w:rPr>
          <w:color w:val="auto"/>
          <w:sz w:val="24"/>
          <w:szCs w:val="24"/>
          <w:highlight w:val="none"/>
        </w:rPr>
        <w:t>：</w:t>
      </w:r>
      <w:r>
        <w:rPr>
          <w:rFonts w:hint="eastAsia"/>
          <w:color w:val="auto"/>
          <w:sz w:val="24"/>
          <w:szCs w:val="24"/>
          <w:highlight w:val="none"/>
          <w:lang w:eastAsia="zh-CN"/>
        </w:rPr>
        <w:t>云安区生猪产业园—优质生猪标准化规模养殖基地项目</w:t>
      </w:r>
      <w:r>
        <w:rPr>
          <w:rFonts w:hint="eastAsia"/>
          <w:color w:val="auto"/>
          <w:sz w:val="24"/>
          <w:szCs w:val="24"/>
          <w:highlight w:val="none"/>
          <w:lang w:val="en-US" w:eastAsia="zh-CN"/>
        </w:rPr>
        <w:t xml:space="preserve">          </w:t>
      </w: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 xml:space="preserve">月 </w:t>
      </w:r>
      <w:r>
        <w:rPr>
          <w:rFonts w:hint="eastAsia"/>
          <w:color w:val="auto"/>
          <w:sz w:val="24"/>
          <w:szCs w:val="24"/>
          <w:highlight w:val="none"/>
          <w:lang w:val="en-US" w:eastAsia="zh-CN"/>
        </w:rPr>
        <w:t xml:space="preserve">   </w:t>
      </w:r>
      <w:r>
        <w:rPr>
          <w:color w:val="auto"/>
          <w:sz w:val="24"/>
          <w:szCs w:val="24"/>
          <w:highlight w:val="none"/>
        </w:rPr>
        <w:t>日</w:t>
      </w:r>
    </w:p>
    <w:tbl>
      <w:tblPr>
        <w:tblStyle w:val="23"/>
        <w:tblW w:w="14174"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4536"/>
        <w:gridCol w:w="2126"/>
        <w:gridCol w:w="2693"/>
        <w:gridCol w:w="1985"/>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9" w:type="dxa"/>
            <w:vMerge w:val="restart"/>
          </w:tcPr>
          <w:p>
            <w:pPr>
              <w:pStyle w:val="29"/>
              <w:rPr>
                <w:color w:val="auto"/>
                <w:sz w:val="24"/>
                <w:highlight w:val="none"/>
              </w:rPr>
            </w:pPr>
          </w:p>
          <w:p>
            <w:pPr>
              <w:pStyle w:val="29"/>
              <w:spacing w:before="2"/>
              <w:rPr>
                <w:color w:val="auto"/>
                <w:sz w:val="19"/>
                <w:highlight w:val="none"/>
              </w:rPr>
            </w:pPr>
          </w:p>
          <w:p>
            <w:pPr>
              <w:bidi w:val="0"/>
              <w:jc w:val="center"/>
              <w:rPr>
                <w:color w:val="auto"/>
                <w:highlight w:val="none"/>
              </w:rPr>
            </w:pPr>
            <w:r>
              <w:rPr>
                <w:color w:val="auto"/>
                <w:sz w:val="24"/>
                <w:szCs w:val="24"/>
                <w:highlight w:val="none"/>
              </w:rPr>
              <w:t>序号</w:t>
            </w:r>
          </w:p>
        </w:tc>
        <w:tc>
          <w:tcPr>
            <w:tcW w:w="4536" w:type="dxa"/>
            <w:vMerge w:val="restart"/>
          </w:tcPr>
          <w:p>
            <w:pPr>
              <w:pStyle w:val="29"/>
              <w:rPr>
                <w:color w:val="auto"/>
                <w:sz w:val="24"/>
                <w:highlight w:val="none"/>
              </w:rPr>
            </w:pPr>
          </w:p>
          <w:p>
            <w:pPr>
              <w:pStyle w:val="29"/>
              <w:spacing w:before="2"/>
              <w:rPr>
                <w:color w:val="auto"/>
                <w:sz w:val="19"/>
                <w:highlight w:val="none"/>
              </w:rPr>
            </w:pPr>
          </w:p>
          <w:p>
            <w:pPr>
              <w:bidi w:val="0"/>
              <w:jc w:val="center"/>
              <w:rPr>
                <w:color w:val="auto"/>
                <w:highlight w:val="none"/>
              </w:rPr>
            </w:pPr>
            <w:r>
              <w:rPr>
                <w:color w:val="auto"/>
                <w:sz w:val="24"/>
                <w:szCs w:val="24"/>
                <w:highlight w:val="none"/>
              </w:rPr>
              <w:t>投标人名称</w:t>
            </w:r>
          </w:p>
        </w:tc>
        <w:tc>
          <w:tcPr>
            <w:tcW w:w="8679" w:type="dxa"/>
            <w:gridSpan w:val="4"/>
          </w:tcPr>
          <w:p>
            <w:pPr>
              <w:pStyle w:val="29"/>
              <w:spacing w:before="80"/>
              <w:ind w:left="3117" w:right="3111"/>
              <w:jc w:val="center"/>
              <w:rPr>
                <w:color w:val="auto"/>
                <w:sz w:val="24"/>
                <w:highlight w:val="none"/>
              </w:rPr>
            </w:pPr>
            <w:r>
              <w:rPr>
                <w:color w:val="auto"/>
                <w:sz w:val="24"/>
                <w:szCs w:val="24"/>
                <w:highlight w:val="none"/>
              </w:rPr>
              <w:t>投标报价评分（</w:t>
            </w:r>
            <w:r>
              <w:rPr>
                <w:rFonts w:hint="eastAsia"/>
                <w:color w:val="auto"/>
                <w:sz w:val="24"/>
                <w:szCs w:val="24"/>
                <w:highlight w:val="none"/>
                <w:lang w:val="en-US" w:eastAsia="zh-CN"/>
              </w:rPr>
              <w:t>30</w:t>
            </w:r>
            <w:r>
              <w:rPr>
                <w:color w:val="auto"/>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59" w:type="dxa"/>
            <w:vMerge w:val="continue"/>
            <w:tcBorders>
              <w:top w:val="nil"/>
            </w:tcBorders>
          </w:tcPr>
          <w:p>
            <w:pPr>
              <w:rPr>
                <w:color w:val="auto"/>
                <w:sz w:val="2"/>
                <w:szCs w:val="2"/>
                <w:highlight w:val="none"/>
              </w:rPr>
            </w:pPr>
          </w:p>
        </w:tc>
        <w:tc>
          <w:tcPr>
            <w:tcW w:w="4536" w:type="dxa"/>
            <w:vMerge w:val="continue"/>
            <w:tcBorders>
              <w:top w:val="nil"/>
            </w:tcBorders>
          </w:tcPr>
          <w:p>
            <w:pPr>
              <w:rPr>
                <w:color w:val="auto"/>
                <w:sz w:val="2"/>
                <w:szCs w:val="2"/>
                <w:highlight w:val="none"/>
              </w:rPr>
            </w:pPr>
          </w:p>
        </w:tc>
        <w:tc>
          <w:tcPr>
            <w:tcW w:w="2126" w:type="dxa"/>
          </w:tcPr>
          <w:p>
            <w:pPr>
              <w:pStyle w:val="29"/>
              <w:spacing w:before="7"/>
              <w:rPr>
                <w:color w:val="auto"/>
                <w:sz w:val="24"/>
                <w:szCs w:val="24"/>
                <w:highlight w:val="none"/>
              </w:rPr>
            </w:pPr>
          </w:p>
          <w:p>
            <w:pPr>
              <w:pStyle w:val="29"/>
              <w:spacing w:before="1"/>
              <w:ind w:left="161"/>
              <w:rPr>
                <w:color w:val="auto"/>
                <w:sz w:val="24"/>
                <w:szCs w:val="24"/>
                <w:highlight w:val="none"/>
              </w:rPr>
            </w:pPr>
            <w:r>
              <w:rPr>
                <w:color w:val="auto"/>
                <w:sz w:val="24"/>
                <w:szCs w:val="24"/>
                <w:highlight w:val="none"/>
              </w:rPr>
              <w:t>投标报价B（元）</w:t>
            </w:r>
          </w:p>
        </w:tc>
        <w:tc>
          <w:tcPr>
            <w:tcW w:w="2693" w:type="dxa"/>
          </w:tcPr>
          <w:p>
            <w:pPr>
              <w:pStyle w:val="29"/>
              <w:spacing w:before="80"/>
              <w:ind w:left="125" w:right="118"/>
              <w:jc w:val="center"/>
              <w:rPr>
                <w:color w:val="auto"/>
                <w:sz w:val="24"/>
                <w:szCs w:val="24"/>
                <w:highlight w:val="none"/>
              </w:rPr>
            </w:pPr>
            <w:r>
              <w:rPr>
                <w:color w:val="auto"/>
                <w:sz w:val="24"/>
                <w:szCs w:val="24"/>
                <w:highlight w:val="none"/>
              </w:rPr>
              <w:t>所有有效投标总价的算</w:t>
            </w:r>
          </w:p>
          <w:p>
            <w:pPr>
              <w:pStyle w:val="29"/>
              <w:spacing w:before="160"/>
              <w:ind w:left="125" w:right="118"/>
              <w:jc w:val="center"/>
              <w:rPr>
                <w:color w:val="auto"/>
                <w:sz w:val="24"/>
                <w:szCs w:val="24"/>
                <w:highlight w:val="none"/>
              </w:rPr>
            </w:pPr>
            <w:r>
              <w:rPr>
                <w:color w:val="auto"/>
                <w:sz w:val="24"/>
                <w:szCs w:val="24"/>
                <w:highlight w:val="none"/>
              </w:rPr>
              <w:t>术平均值A（元）</w:t>
            </w:r>
          </w:p>
        </w:tc>
        <w:tc>
          <w:tcPr>
            <w:tcW w:w="1985" w:type="dxa"/>
          </w:tcPr>
          <w:p>
            <w:pPr>
              <w:pStyle w:val="29"/>
              <w:spacing w:before="7"/>
              <w:rPr>
                <w:color w:val="auto"/>
                <w:sz w:val="24"/>
                <w:szCs w:val="24"/>
                <w:highlight w:val="none"/>
              </w:rPr>
            </w:pPr>
          </w:p>
          <w:p>
            <w:pPr>
              <w:pStyle w:val="29"/>
              <w:spacing w:before="1"/>
              <w:jc w:val="center"/>
              <w:rPr>
                <w:color w:val="auto"/>
                <w:sz w:val="24"/>
                <w:szCs w:val="24"/>
                <w:highlight w:val="none"/>
              </w:rPr>
            </w:pPr>
            <w:r>
              <w:rPr>
                <w:rFonts w:hint="eastAsia"/>
                <w:color w:val="auto"/>
                <w:sz w:val="24"/>
                <w:szCs w:val="24"/>
                <w:highlight w:val="none"/>
                <w:lang w:val="en-US" w:eastAsia="zh-CN"/>
              </w:rPr>
              <w:t>偏差率</w:t>
            </w:r>
            <w:r>
              <w:rPr>
                <w:color w:val="auto"/>
                <w:sz w:val="24"/>
                <w:szCs w:val="24"/>
                <w:highlight w:val="none"/>
              </w:rPr>
              <w:t>的取值</w:t>
            </w:r>
          </w:p>
        </w:tc>
        <w:tc>
          <w:tcPr>
            <w:tcW w:w="1875" w:type="dxa"/>
          </w:tcPr>
          <w:p>
            <w:pPr>
              <w:pStyle w:val="29"/>
              <w:spacing w:before="7"/>
              <w:rPr>
                <w:color w:val="auto"/>
                <w:sz w:val="24"/>
                <w:szCs w:val="24"/>
                <w:highlight w:val="none"/>
              </w:rPr>
            </w:pPr>
          </w:p>
          <w:p>
            <w:pPr>
              <w:pStyle w:val="29"/>
              <w:spacing w:before="1"/>
              <w:ind w:left="156"/>
              <w:rPr>
                <w:color w:val="auto"/>
                <w:sz w:val="24"/>
                <w:szCs w:val="24"/>
                <w:highlight w:val="none"/>
              </w:rPr>
            </w:pPr>
            <w:r>
              <w:rPr>
                <w:color w:val="auto"/>
                <w:sz w:val="24"/>
                <w:szCs w:val="24"/>
                <w:highlight w:val="none"/>
              </w:rPr>
              <w:t>投标报价得分F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59" w:type="dxa"/>
          </w:tcPr>
          <w:p>
            <w:pPr>
              <w:pStyle w:val="29"/>
              <w:spacing w:before="5"/>
              <w:rPr>
                <w:color w:val="auto"/>
                <w:sz w:val="23"/>
                <w:highlight w:val="none"/>
              </w:rPr>
            </w:pPr>
          </w:p>
          <w:p>
            <w:pPr>
              <w:pStyle w:val="29"/>
              <w:spacing w:before="1"/>
              <w:ind w:left="419"/>
              <w:rPr>
                <w:color w:val="auto"/>
                <w:sz w:val="24"/>
                <w:highlight w:val="none"/>
              </w:rPr>
            </w:pPr>
            <w:r>
              <w:rPr>
                <w:color w:val="auto"/>
                <w:sz w:val="24"/>
                <w:highlight w:val="none"/>
              </w:rPr>
              <w:t>1</w:t>
            </w:r>
          </w:p>
        </w:tc>
        <w:tc>
          <w:tcPr>
            <w:tcW w:w="4536" w:type="dxa"/>
          </w:tcPr>
          <w:p>
            <w:pPr>
              <w:pStyle w:val="29"/>
              <w:rPr>
                <w:rFonts w:ascii="Times New Roman"/>
                <w:color w:val="auto"/>
                <w:sz w:val="24"/>
                <w:highlight w:val="none"/>
              </w:rPr>
            </w:pPr>
          </w:p>
        </w:tc>
        <w:tc>
          <w:tcPr>
            <w:tcW w:w="2126" w:type="dxa"/>
          </w:tcPr>
          <w:p>
            <w:pPr>
              <w:pStyle w:val="29"/>
              <w:rPr>
                <w:rFonts w:ascii="Times New Roman"/>
                <w:color w:val="auto"/>
                <w:sz w:val="24"/>
                <w:highlight w:val="none"/>
              </w:rPr>
            </w:pPr>
          </w:p>
        </w:tc>
        <w:tc>
          <w:tcPr>
            <w:tcW w:w="2693" w:type="dxa"/>
            <w:vMerge w:val="restart"/>
          </w:tcPr>
          <w:p>
            <w:pPr>
              <w:pStyle w:val="29"/>
              <w:rPr>
                <w:rFonts w:ascii="Times New Roman"/>
                <w:color w:val="auto"/>
                <w:sz w:val="24"/>
                <w:highlight w:val="none"/>
              </w:rPr>
            </w:pPr>
          </w:p>
        </w:tc>
        <w:tc>
          <w:tcPr>
            <w:tcW w:w="1985" w:type="dxa"/>
          </w:tcPr>
          <w:p>
            <w:pPr>
              <w:pStyle w:val="29"/>
              <w:rPr>
                <w:rFonts w:ascii="Times New Roman"/>
                <w:color w:val="auto"/>
                <w:sz w:val="24"/>
                <w:highlight w:val="none"/>
              </w:rPr>
            </w:pPr>
          </w:p>
        </w:tc>
        <w:tc>
          <w:tcPr>
            <w:tcW w:w="1875" w:type="dxa"/>
          </w:tcPr>
          <w:p>
            <w:pPr>
              <w:pStyle w:val="29"/>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959" w:type="dxa"/>
          </w:tcPr>
          <w:p>
            <w:pPr>
              <w:pStyle w:val="29"/>
              <w:spacing w:before="5"/>
              <w:rPr>
                <w:color w:val="auto"/>
                <w:sz w:val="23"/>
                <w:highlight w:val="none"/>
              </w:rPr>
            </w:pPr>
          </w:p>
          <w:p>
            <w:pPr>
              <w:pStyle w:val="29"/>
              <w:ind w:left="419"/>
              <w:rPr>
                <w:rFonts w:hint="eastAsia" w:eastAsia="宋体"/>
                <w:color w:val="auto"/>
                <w:sz w:val="24"/>
                <w:highlight w:val="none"/>
                <w:lang w:val="en-US" w:eastAsia="zh-CN"/>
              </w:rPr>
            </w:pPr>
            <w:r>
              <w:rPr>
                <w:rFonts w:hint="eastAsia"/>
                <w:color w:val="auto"/>
                <w:sz w:val="24"/>
                <w:highlight w:val="none"/>
                <w:lang w:val="en-US" w:eastAsia="zh-CN"/>
              </w:rPr>
              <w:t>2</w:t>
            </w:r>
          </w:p>
        </w:tc>
        <w:tc>
          <w:tcPr>
            <w:tcW w:w="4536" w:type="dxa"/>
          </w:tcPr>
          <w:p>
            <w:pPr>
              <w:pStyle w:val="29"/>
              <w:rPr>
                <w:rFonts w:ascii="Times New Roman"/>
                <w:color w:val="auto"/>
                <w:sz w:val="24"/>
                <w:highlight w:val="none"/>
              </w:rPr>
            </w:pPr>
          </w:p>
        </w:tc>
        <w:tc>
          <w:tcPr>
            <w:tcW w:w="2126" w:type="dxa"/>
          </w:tcPr>
          <w:p>
            <w:pPr>
              <w:pStyle w:val="29"/>
              <w:rPr>
                <w:rFonts w:ascii="Times New Roman"/>
                <w:color w:val="auto"/>
                <w:sz w:val="24"/>
                <w:highlight w:val="none"/>
              </w:rPr>
            </w:pPr>
          </w:p>
        </w:tc>
        <w:tc>
          <w:tcPr>
            <w:tcW w:w="2693" w:type="dxa"/>
            <w:vMerge w:val="continue"/>
            <w:tcBorders>
              <w:top w:val="nil"/>
            </w:tcBorders>
          </w:tcPr>
          <w:p>
            <w:pPr>
              <w:rPr>
                <w:color w:val="auto"/>
                <w:sz w:val="2"/>
                <w:szCs w:val="2"/>
                <w:highlight w:val="none"/>
              </w:rPr>
            </w:pPr>
          </w:p>
        </w:tc>
        <w:tc>
          <w:tcPr>
            <w:tcW w:w="1985" w:type="dxa"/>
          </w:tcPr>
          <w:p>
            <w:pPr>
              <w:pStyle w:val="29"/>
              <w:rPr>
                <w:rFonts w:ascii="Times New Roman"/>
                <w:color w:val="auto"/>
                <w:sz w:val="24"/>
                <w:highlight w:val="none"/>
              </w:rPr>
            </w:pPr>
          </w:p>
        </w:tc>
        <w:tc>
          <w:tcPr>
            <w:tcW w:w="1875" w:type="dxa"/>
          </w:tcPr>
          <w:p>
            <w:pPr>
              <w:pStyle w:val="29"/>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59" w:type="dxa"/>
          </w:tcPr>
          <w:p>
            <w:pPr>
              <w:pStyle w:val="29"/>
              <w:spacing w:before="8"/>
              <w:rPr>
                <w:color w:val="auto"/>
                <w:sz w:val="24"/>
                <w:highlight w:val="none"/>
              </w:rPr>
            </w:pPr>
          </w:p>
          <w:p>
            <w:pPr>
              <w:pStyle w:val="29"/>
              <w:ind w:left="359"/>
              <w:rPr>
                <w:rFonts w:ascii="Times New Roman" w:hAnsi="Times New Roman"/>
                <w:color w:val="auto"/>
                <w:sz w:val="24"/>
                <w:highlight w:val="none"/>
              </w:rPr>
            </w:pPr>
            <w:r>
              <w:rPr>
                <w:rFonts w:ascii="Times New Roman" w:hAnsi="Times New Roman"/>
                <w:color w:val="auto"/>
                <w:sz w:val="24"/>
                <w:highlight w:val="none"/>
              </w:rPr>
              <w:t>…</w:t>
            </w:r>
          </w:p>
        </w:tc>
        <w:tc>
          <w:tcPr>
            <w:tcW w:w="4536" w:type="dxa"/>
          </w:tcPr>
          <w:p>
            <w:pPr>
              <w:pStyle w:val="29"/>
              <w:rPr>
                <w:rFonts w:ascii="Times New Roman"/>
                <w:color w:val="auto"/>
                <w:sz w:val="24"/>
                <w:highlight w:val="none"/>
              </w:rPr>
            </w:pPr>
          </w:p>
        </w:tc>
        <w:tc>
          <w:tcPr>
            <w:tcW w:w="2126" w:type="dxa"/>
          </w:tcPr>
          <w:p>
            <w:pPr>
              <w:pStyle w:val="29"/>
              <w:rPr>
                <w:rFonts w:ascii="Times New Roman"/>
                <w:color w:val="auto"/>
                <w:sz w:val="24"/>
                <w:highlight w:val="none"/>
              </w:rPr>
            </w:pPr>
          </w:p>
        </w:tc>
        <w:tc>
          <w:tcPr>
            <w:tcW w:w="2693" w:type="dxa"/>
            <w:vMerge w:val="continue"/>
            <w:tcBorders>
              <w:top w:val="nil"/>
            </w:tcBorders>
          </w:tcPr>
          <w:p>
            <w:pPr>
              <w:rPr>
                <w:color w:val="auto"/>
                <w:sz w:val="2"/>
                <w:szCs w:val="2"/>
                <w:highlight w:val="none"/>
              </w:rPr>
            </w:pPr>
          </w:p>
        </w:tc>
        <w:tc>
          <w:tcPr>
            <w:tcW w:w="1985" w:type="dxa"/>
          </w:tcPr>
          <w:p>
            <w:pPr>
              <w:pStyle w:val="29"/>
              <w:rPr>
                <w:rFonts w:ascii="Times New Roman"/>
                <w:color w:val="auto"/>
                <w:sz w:val="24"/>
                <w:highlight w:val="none"/>
              </w:rPr>
            </w:pPr>
          </w:p>
        </w:tc>
        <w:tc>
          <w:tcPr>
            <w:tcW w:w="1875" w:type="dxa"/>
          </w:tcPr>
          <w:p>
            <w:pPr>
              <w:pStyle w:val="29"/>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14174" w:type="dxa"/>
            <w:gridSpan w:val="6"/>
          </w:tcPr>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color w:val="auto"/>
                <w:sz w:val="24"/>
                <w:szCs w:val="24"/>
                <w:highlight w:val="none"/>
                <w:lang w:eastAsia="zh-CN"/>
              </w:rPr>
            </w:pPr>
            <w:r>
              <w:rPr>
                <w:rFonts w:hint="eastAsia"/>
                <w:color w:val="auto"/>
                <w:sz w:val="24"/>
                <w:szCs w:val="24"/>
                <w:highlight w:val="none"/>
                <w:lang w:eastAsia="zh-CN"/>
              </w:rPr>
              <w:t>说明：投标报价得分按下式计算(得分保留到小数点后</w:t>
            </w:r>
            <w:r>
              <w:rPr>
                <w:rFonts w:hint="eastAsia"/>
                <w:color w:val="auto"/>
                <w:sz w:val="24"/>
                <w:szCs w:val="24"/>
                <w:highlight w:val="none"/>
                <w:lang w:val="en-US" w:eastAsia="zh-CN"/>
              </w:rPr>
              <w:t>两</w:t>
            </w:r>
            <w:r>
              <w:rPr>
                <w:rFonts w:hint="eastAsia"/>
                <w:color w:val="auto"/>
                <w:sz w:val="24"/>
                <w:szCs w:val="24"/>
                <w:highlight w:val="none"/>
                <w:lang w:eastAsia="zh-CN"/>
              </w:rPr>
              <w:t>位，小数点后3位四舍</w:t>
            </w:r>
            <w:r>
              <w:rPr>
                <w:rFonts w:hint="eastAsia"/>
                <w:color w:val="auto"/>
                <w:sz w:val="24"/>
                <w:szCs w:val="24"/>
                <w:highlight w:val="none"/>
                <w:lang w:val="en-US" w:eastAsia="zh-CN"/>
              </w:rPr>
              <w:t>五入</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color w:val="auto"/>
                <w:sz w:val="24"/>
                <w:szCs w:val="24"/>
                <w:highlight w:val="none"/>
                <w:lang w:val="en-US" w:eastAsia="zh-CN"/>
              </w:rPr>
            </w:pPr>
            <w:r>
              <w:rPr>
                <w:rFonts w:hint="eastAsia"/>
                <w:color w:val="auto"/>
                <w:sz w:val="24"/>
                <w:szCs w:val="24"/>
                <w:highlight w:val="none"/>
                <w:lang w:eastAsia="zh-CN"/>
              </w:rPr>
              <w:t>F=</w:t>
            </w:r>
            <w:r>
              <w:rPr>
                <w:rFonts w:hint="eastAsia"/>
                <w:color w:val="auto"/>
                <w:sz w:val="24"/>
                <w:szCs w:val="24"/>
                <w:highlight w:val="none"/>
                <w:lang w:val="en-US" w:eastAsia="zh-CN"/>
              </w:rPr>
              <w:t>30</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|B-A</w:t>
            </w:r>
            <w:r>
              <w:rPr>
                <w:rFonts w:hint="eastAsia"/>
                <w:color w:val="auto"/>
                <w:sz w:val="24"/>
                <w:szCs w:val="24"/>
                <w:highlight w:val="none"/>
                <w:lang w:val="en-US" w:eastAsia="zh-CN"/>
              </w:rPr>
              <w:t>|</w:t>
            </w:r>
            <w:r>
              <w:rPr>
                <w:rFonts w:hint="default" w:ascii="Arial" w:hAnsi="Arial" w:cs="Arial"/>
                <w:color w:val="auto"/>
                <w:sz w:val="24"/>
                <w:szCs w:val="24"/>
                <w:highlight w:val="none"/>
                <w:lang w:val="en-US" w:eastAsia="zh-CN"/>
              </w:rPr>
              <w:t>÷</w:t>
            </w:r>
            <w:r>
              <w:rPr>
                <w:rFonts w:hint="eastAsia"/>
                <w:color w:val="auto"/>
                <w:sz w:val="24"/>
                <w:szCs w:val="24"/>
                <w:highlight w:val="none"/>
                <w:lang w:eastAsia="zh-CN"/>
              </w:rPr>
              <w:t>A ×100×C</w:t>
            </w:r>
            <w:r>
              <w:rPr>
                <w:rFonts w:hint="eastAsia"/>
                <w:color w:val="auto"/>
                <w:sz w:val="24"/>
                <w:szCs w:val="24"/>
                <w:highlight w:val="none"/>
                <w:lang w:val="en-US" w:eastAsia="zh-CN"/>
              </w:rPr>
              <w:t>)</w:t>
            </w:r>
          </w:p>
          <w:p>
            <w:pPr>
              <w:pStyle w:val="12"/>
              <w:keepNext w:val="0"/>
              <w:keepLines w:val="0"/>
              <w:pageBreakBefore w:val="0"/>
              <w:widowControl w:val="0"/>
              <w:kinsoku/>
              <w:wordWrap/>
              <w:overflowPunct/>
              <w:topLinePunct w:val="0"/>
              <w:autoSpaceDE w:val="0"/>
              <w:autoSpaceDN w:val="0"/>
              <w:bidi w:val="0"/>
              <w:adjustRightInd/>
              <w:snapToGrid/>
              <w:spacing w:line="288" w:lineRule="auto"/>
              <w:ind w:left="0" w:leftChars="0" w:firstLine="0" w:firstLineChars="0"/>
              <w:textAlignment w:val="auto"/>
              <w:rPr>
                <w:rFonts w:hint="default"/>
                <w:lang w:val="en-US" w:eastAsia="zh-CN"/>
              </w:rPr>
            </w:pPr>
            <w:r>
              <w:rPr>
                <w:rFonts w:hint="eastAsia" w:ascii="宋体" w:hAnsi="宋体"/>
                <w:kern w:val="0"/>
                <w:szCs w:val="21"/>
                <w:highlight w:val="none"/>
              </w:rPr>
              <w:t>偏差率 =100</w:t>
            </w:r>
            <w:r>
              <w:rPr>
                <w:rFonts w:ascii="宋体" w:hAnsi="宋体"/>
                <w:kern w:val="0"/>
                <w:szCs w:val="21"/>
                <w:highlight w:val="none"/>
              </w:rPr>
              <w:t>×</w:t>
            </w:r>
            <w:r>
              <w:rPr>
                <w:rFonts w:hint="eastAsia"/>
                <w:b/>
                <w:bCs/>
                <w:kern w:val="0"/>
                <w:szCs w:val="21"/>
                <w:highlight w:val="none"/>
                <w:lang w:val="en-US" w:eastAsia="zh-CN"/>
              </w:rPr>
              <w:t>|</w:t>
            </w:r>
            <w:r>
              <w:rPr>
                <w:rFonts w:ascii="宋体" w:hAnsi="宋体"/>
                <w:kern w:val="0"/>
                <w:szCs w:val="21"/>
                <w:highlight w:val="none"/>
              </w:rPr>
              <w:t>投标人的投标总</w:t>
            </w:r>
            <w:r>
              <w:rPr>
                <w:rFonts w:hint="eastAsia" w:ascii="宋体" w:hAnsi="宋体"/>
                <w:kern w:val="0"/>
                <w:szCs w:val="21"/>
                <w:highlight w:val="none"/>
              </w:rPr>
              <w:t>报</w:t>
            </w:r>
            <w:r>
              <w:rPr>
                <w:rFonts w:ascii="宋体" w:hAnsi="宋体"/>
                <w:kern w:val="0"/>
                <w:szCs w:val="21"/>
                <w:highlight w:val="none"/>
              </w:rPr>
              <w:t>价</w:t>
            </w:r>
            <w:r>
              <w:rPr>
                <w:rFonts w:hint="eastAsia"/>
                <w:b/>
                <w:bCs/>
                <w:kern w:val="0"/>
                <w:szCs w:val="21"/>
                <w:highlight w:val="none"/>
                <w:lang w:val="en-US" w:eastAsia="zh-CN"/>
              </w:rPr>
              <w:t>B</w:t>
            </w:r>
            <w:r>
              <w:rPr>
                <w:rFonts w:hint="eastAsia" w:ascii="宋体" w:hAnsi="宋体"/>
                <w:kern w:val="0"/>
                <w:szCs w:val="21"/>
                <w:highlight w:val="none"/>
              </w:rPr>
              <w:t>－</w:t>
            </w:r>
            <w:r>
              <w:rPr>
                <w:rFonts w:ascii="宋体" w:hAnsi="宋体"/>
                <w:kern w:val="0"/>
                <w:szCs w:val="21"/>
                <w:highlight w:val="none"/>
              </w:rPr>
              <w:t>评标基准价</w:t>
            </w:r>
            <w:r>
              <w:rPr>
                <w:rFonts w:hint="eastAsia" w:ascii="宋体" w:hAnsi="宋体" w:cs="宋体"/>
                <w:b/>
                <w:bCs/>
                <w:szCs w:val="21"/>
              </w:rPr>
              <w:t>A</w:t>
            </w:r>
            <w:r>
              <w:rPr>
                <w:rFonts w:hint="eastAsia" w:cs="宋体"/>
                <w:b/>
                <w:bCs/>
                <w:szCs w:val="21"/>
                <w:lang w:val="en-US" w:eastAsia="zh-CN"/>
              </w:rPr>
              <w:t>|</w:t>
            </w:r>
            <w:r>
              <w:rPr>
                <w:rFonts w:hint="default" w:ascii="Arial" w:hAnsi="Arial" w:cs="Arial"/>
                <w:kern w:val="0"/>
                <w:szCs w:val="21"/>
                <w:highlight w:val="none"/>
              </w:rPr>
              <w:t>÷</w:t>
            </w:r>
            <w:r>
              <w:rPr>
                <w:rFonts w:ascii="宋体" w:hAnsi="宋体"/>
                <w:kern w:val="0"/>
                <w:szCs w:val="21"/>
                <w:highlight w:val="none"/>
              </w:rPr>
              <w:t>评标基准价</w:t>
            </w:r>
            <w:r>
              <w:rPr>
                <w:rFonts w:hint="eastAsia" w:ascii="宋体" w:hAnsi="宋体" w:cs="宋体"/>
                <w:b/>
                <w:bCs/>
                <w:szCs w:val="21"/>
              </w:rPr>
              <w:t>A</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color w:val="auto"/>
                <w:sz w:val="24"/>
                <w:szCs w:val="24"/>
                <w:highlight w:val="none"/>
                <w:lang w:eastAsia="zh-CN"/>
              </w:rPr>
            </w:pPr>
            <w:r>
              <w:rPr>
                <w:rFonts w:hint="eastAsia"/>
                <w:color w:val="auto"/>
                <w:sz w:val="24"/>
                <w:szCs w:val="24"/>
                <w:highlight w:val="none"/>
                <w:lang w:eastAsia="zh-CN"/>
              </w:rPr>
              <w:t>A为有效投标报价的算术平均值。B为各投标人的投标报价。</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default" w:eastAsia="宋体"/>
                <w:color w:val="auto"/>
                <w:highlight w:val="none"/>
                <w:lang w:val="en-US" w:eastAsia="zh-CN"/>
              </w:rPr>
            </w:pPr>
            <w:r>
              <w:rPr>
                <w:rFonts w:hint="eastAsia"/>
                <w:color w:val="auto"/>
                <w:sz w:val="24"/>
                <w:szCs w:val="24"/>
                <w:highlight w:val="none"/>
                <w:lang w:eastAsia="zh-CN"/>
              </w:rPr>
              <w:t>C为扣分系数，B&gt;A时，C=</w:t>
            </w:r>
            <w:r>
              <w:rPr>
                <w:rFonts w:hint="eastAsia"/>
                <w:color w:val="auto"/>
                <w:sz w:val="24"/>
                <w:szCs w:val="24"/>
                <w:highlight w:val="none"/>
                <w:lang w:val="en-US" w:eastAsia="zh-CN"/>
              </w:rPr>
              <w:t>1</w:t>
            </w:r>
            <w:r>
              <w:rPr>
                <w:rFonts w:hint="eastAsia"/>
                <w:color w:val="auto"/>
                <w:sz w:val="24"/>
                <w:szCs w:val="24"/>
                <w:highlight w:val="none"/>
                <w:lang w:eastAsia="zh-CN"/>
              </w:rPr>
              <w:t>；当B≤A时，C=</w:t>
            </w:r>
            <w:r>
              <w:rPr>
                <w:rFonts w:hint="eastAsia"/>
                <w:color w:val="auto"/>
                <w:sz w:val="24"/>
                <w:szCs w:val="24"/>
                <w:highlight w:val="none"/>
                <w:lang w:val="en-US" w:eastAsia="zh-CN"/>
              </w:rPr>
              <w:t>0.5</w:t>
            </w:r>
          </w:p>
        </w:tc>
      </w:tr>
    </w:tbl>
    <w:p>
      <w:pPr>
        <w:pStyle w:val="14"/>
        <w:rPr>
          <w:color w:val="auto"/>
          <w:sz w:val="24"/>
          <w:highlight w:val="none"/>
        </w:rPr>
      </w:pPr>
    </w:p>
    <w:p>
      <w:pPr>
        <w:pStyle w:val="14"/>
        <w:spacing w:before="11"/>
        <w:rPr>
          <w:color w:val="auto"/>
          <w:sz w:val="18"/>
          <w:highlight w:val="none"/>
        </w:rPr>
      </w:pPr>
    </w:p>
    <w:p>
      <w:pPr>
        <w:pStyle w:val="10"/>
        <w:ind w:left="340"/>
        <w:rPr>
          <w:color w:val="auto"/>
          <w:highlight w:val="none"/>
        </w:rPr>
      </w:pPr>
      <w:r>
        <w:rPr>
          <w:color w:val="auto"/>
          <w:highlight w:val="none"/>
        </w:rPr>
        <w:t>评委（签名</w:t>
      </w:r>
      <w:r>
        <w:rPr>
          <w:rFonts w:hint="eastAsia"/>
          <w:color w:val="auto"/>
          <w:highlight w:val="none"/>
          <w:lang w:eastAsia="zh-CN"/>
        </w:rPr>
        <w:t>）</w:t>
      </w:r>
      <w:r>
        <w:rPr>
          <w:color w:val="auto"/>
          <w:highlight w:val="none"/>
        </w:rPr>
        <w:t>：</w:t>
      </w:r>
    </w:p>
    <w:p>
      <w:pPr>
        <w:spacing w:after="0"/>
        <w:rPr>
          <w:color w:val="auto"/>
          <w:highlight w:val="none"/>
        </w:rPr>
        <w:sectPr>
          <w:pgSz w:w="16840" w:h="11910" w:orient="landscape"/>
          <w:pgMar w:top="1100" w:right="960" w:bottom="1240" w:left="1100" w:header="0" w:footer="1059" w:gutter="0"/>
          <w:pgBorders>
            <w:top w:val="none" w:sz="0" w:space="0"/>
            <w:left w:val="none" w:sz="0" w:space="0"/>
            <w:bottom w:val="none" w:sz="0" w:space="0"/>
            <w:right w:val="none" w:sz="0" w:space="0"/>
          </w:pgBorders>
          <w:pgNumType w:fmt="decimal"/>
          <w:cols w:space="720" w:num="1"/>
        </w:sectPr>
      </w:pPr>
    </w:p>
    <w:p>
      <w:pPr>
        <w:pStyle w:val="14"/>
        <w:rPr>
          <w:color w:val="auto"/>
          <w:sz w:val="20"/>
          <w:highlight w:val="none"/>
        </w:rPr>
      </w:pPr>
    </w:p>
    <w:p>
      <w:pPr>
        <w:pStyle w:val="14"/>
        <w:spacing w:before="6"/>
        <w:rPr>
          <w:color w:val="auto"/>
          <w:sz w:val="18"/>
          <w:highlight w:val="none"/>
        </w:rPr>
      </w:pPr>
    </w:p>
    <w:p>
      <w:pPr>
        <w:spacing w:before="55"/>
        <w:ind w:left="18" w:leftChars="0" w:right="40" w:rightChars="0" w:hanging="18" w:hangingChars="5"/>
        <w:jc w:val="center"/>
        <w:outlineLvl w:val="0"/>
        <w:rPr>
          <w:b/>
          <w:color w:val="auto"/>
          <w:sz w:val="36"/>
          <w:highlight w:val="none"/>
        </w:rPr>
      </w:pPr>
      <w:bookmarkStart w:id="594" w:name="_Toc63"/>
      <w:r>
        <w:rPr>
          <w:b/>
          <w:color w:val="auto"/>
          <w:sz w:val="36"/>
          <w:highlight w:val="none"/>
        </w:rPr>
        <w:t>详细评审表</w:t>
      </w:r>
      <w:bookmarkEnd w:id="594"/>
    </w:p>
    <w:p>
      <w:pPr>
        <w:pStyle w:val="2"/>
      </w:pPr>
    </w:p>
    <w:p>
      <w:pPr>
        <w:bidi w:val="0"/>
        <w:rPr>
          <w:color w:val="auto"/>
          <w:sz w:val="24"/>
          <w:szCs w:val="24"/>
          <w:highlight w:val="none"/>
        </w:rPr>
      </w:pPr>
      <w:r>
        <w:rPr>
          <w:rFonts w:hint="eastAsia"/>
          <w:color w:val="auto"/>
          <w:sz w:val="24"/>
          <w:szCs w:val="24"/>
          <w:highlight w:val="none"/>
          <w:lang w:val="en-US" w:eastAsia="zh-CN"/>
        </w:rPr>
        <w:t>工程名称</w:t>
      </w:r>
      <w:r>
        <w:rPr>
          <w:color w:val="auto"/>
          <w:sz w:val="24"/>
          <w:szCs w:val="24"/>
          <w:highlight w:val="none"/>
        </w:rPr>
        <w:t>：</w:t>
      </w:r>
      <w:r>
        <w:rPr>
          <w:rFonts w:hint="eastAsia"/>
          <w:color w:val="auto"/>
          <w:sz w:val="24"/>
          <w:szCs w:val="24"/>
          <w:highlight w:val="none"/>
          <w:lang w:eastAsia="zh-CN"/>
        </w:rPr>
        <w:t>云安区生猪产业园—优质生猪标准化规模养殖基地项目</w:t>
      </w:r>
      <w:r>
        <w:rPr>
          <w:rFonts w:hint="eastAsia"/>
          <w:color w:val="auto"/>
          <w:sz w:val="24"/>
          <w:szCs w:val="24"/>
          <w:highlight w:val="none"/>
          <w:lang w:val="en-US" w:eastAsia="zh-CN"/>
        </w:rPr>
        <w:t xml:space="preserve">          </w:t>
      </w: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tbl>
      <w:tblPr>
        <w:tblStyle w:val="23"/>
        <w:tblpPr w:leftFromText="180" w:rightFromText="180" w:vertAnchor="text" w:horzAnchor="page" w:tblpX="1096" w:tblpY="312"/>
        <w:tblOverlap w:val="never"/>
        <w:tblW w:w="149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
        <w:gridCol w:w="1160"/>
        <w:gridCol w:w="2569"/>
        <w:gridCol w:w="2569"/>
        <w:gridCol w:w="2569"/>
        <w:gridCol w:w="2569"/>
        <w:gridCol w:w="2570"/>
        <w:gridCol w:w="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1" w:type="dxa"/>
            <w:vMerge w:val="restart"/>
            <w:tcBorders>
              <w:tl2br w:val="nil"/>
              <w:tr2bl w:val="nil"/>
            </w:tcBorders>
          </w:tcPr>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r>
              <w:rPr>
                <w:color w:val="auto"/>
                <w:sz w:val="15"/>
                <w:szCs w:val="15"/>
                <w:highlight w:val="none"/>
              </w:rPr>
              <w:t>序号</w:t>
            </w:r>
          </w:p>
        </w:tc>
        <w:tc>
          <w:tcPr>
            <w:tcW w:w="1160" w:type="dxa"/>
            <w:vMerge w:val="restart"/>
            <w:tcBorders>
              <w:tl2br w:val="nil"/>
              <w:tr2bl w:val="nil"/>
            </w:tcBorders>
          </w:tcPr>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r>
              <w:rPr>
                <w:color w:val="auto"/>
                <w:sz w:val="15"/>
                <w:szCs w:val="15"/>
                <w:highlight w:val="none"/>
              </w:rPr>
              <w:t>投标人名称</w:t>
            </w:r>
          </w:p>
        </w:tc>
        <w:tc>
          <w:tcPr>
            <w:tcW w:w="2569" w:type="dxa"/>
            <w:tcBorders>
              <w:tl2br w:val="nil"/>
              <w:tr2bl w:val="nil"/>
            </w:tcBorders>
            <w:vAlign w:val="center"/>
          </w:tcPr>
          <w:p>
            <w:pPr>
              <w:bidi w:val="0"/>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类似项目业绩</w:t>
            </w:r>
          </w:p>
        </w:tc>
        <w:tc>
          <w:tcPr>
            <w:tcW w:w="2569" w:type="dxa"/>
            <w:tcBorders>
              <w:tl2br w:val="nil"/>
              <w:tr2bl w:val="nil"/>
            </w:tcBorders>
            <w:vAlign w:val="center"/>
          </w:tcPr>
          <w:p>
            <w:pPr>
              <w:bidi w:val="0"/>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建筑专业施工单位荣誉</w:t>
            </w:r>
          </w:p>
          <w:p>
            <w:pPr>
              <w:bidi w:val="0"/>
              <w:jc w:val="center"/>
              <w:rPr>
                <w:rFonts w:hint="default" w:ascii="宋体" w:hAnsi="宋体" w:eastAsia="宋体" w:cs="宋体"/>
                <w:color w:val="auto"/>
                <w:sz w:val="15"/>
                <w:szCs w:val="15"/>
                <w:highlight w:val="none"/>
                <w:lang w:val="en-US" w:eastAsia="zh-CN"/>
              </w:rPr>
            </w:pPr>
          </w:p>
        </w:tc>
        <w:tc>
          <w:tcPr>
            <w:tcW w:w="2569" w:type="dxa"/>
            <w:tcBorders>
              <w:tl2br w:val="nil"/>
              <w:tr2bl w:val="nil"/>
            </w:tcBorders>
            <w:vAlign w:val="center"/>
          </w:tcPr>
          <w:p>
            <w:pPr>
              <w:bidi w:val="0"/>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项目组织机构及施工方案</w:t>
            </w:r>
          </w:p>
        </w:tc>
        <w:tc>
          <w:tcPr>
            <w:tcW w:w="2569" w:type="dxa"/>
            <w:tcBorders>
              <w:tl2br w:val="nil"/>
              <w:tr2bl w:val="nil"/>
            </w:tcBorders>
            <w:vAlign w:val="center"/>
          </w:tcPr>
          <w:p>
            <w:pPr>
              <w:bidi w:val="0"/>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施工进度计划和保证措施</w:t>
            </w:r>
          </w:p>
        </w:tc>
        <w:tc>
          <w:tcPr>
            <w:tcW w:w="2570" w:type="dxa"/>
            <w:tcBorders>
              <w:tl2br w:val="nil"/>
              <w:tr2bl w:val="nil"/>
            </w:tcBorders>
          </w:tcPr>
          <w:p>
            <w:pPr>
              <w:bidi w:val="0"/>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安全、文明施工、环保措施、质量保证措施</w:t>
            </w:r>
          </w:p>
        </w:tc>
        <w:tc>
          <w:tcPr>
            <w:tcW w:w="541" w:type="dxa"/>
            <w:vMerge w:val="restart"/>
            <w:tcBorders>
              <w:tl2br w:val="nil"/>
              <w:tr2bl w:val="nil"/>
            </w:tcBorders>
          </w:tcPr>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p>
          <w:p>
            <w:pPr>
              <w:bidi w:val="0"/>
              <w:jc w:val="center"/>
              <w:rPr>
                <w:color w:val="auto"/>
                <w:sz w:val="15"/>
                <w:szCs w:val="15"/>
                <w:highlight w:val="none"/>
              </w:rPr>
            </w:pPr>
            <w:r>
              <w:rPr>
                <w:color w:val="auto"/>
                <w:sz w:val="15"/>
                <w:szCs w:val="15"/>
                <w:highlight w:val="none"/>
              </w:rPr>
              <w:t>评审得分总分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0" w:hRule="atLeast"/>
        </w:trPr>
        <w:tc>
          <w:tcPr>
            <w:tcW w:w="451" w:type="dxa"/>
            <w:vMerge w:val="continue"/>
            <w:tcBorders>
              <w:tl2br w:val="nil"/>
              <w:tr2bl w:val="nil"/>
            </w:tcBorders>
          </w:tcPr>
          <w:p>
            <w:pPr>
              <w:rPr>
                <w:color w:val="auto"/>
                <w:sz w:val="18"/>
                <w:szCs w:val="18"/>
                <w:highlight w:val="none"/>
              </w:rPr>
            </w:pPr>
          </w:p>
        </w:tc>
        <w:tc>
          <w:tcPr>
            <w:tcW w:w="1160" w:type="dxa"/>
            <w:vMerge w:val="continue"/>
            <w:tcBorders>
              <w:tl2br w:val="nil"/>
              <w:tr2bl w:val="nil"/>
            </w:tcBorders>
          </w:tcPr>
          <w:p>
            <w:pPr>
              <w:rPr>
                <w:color w:val="auto"/>
                <w:sz w:val="18"/>
                <w:szCs w:val="18"/>
                <w:highlight w:val="none"/>
              </w:rPr>
            </w:pPr>
          </w:p>
        </w:tc>
        <w:tc>
          <w:tcPr>
            <w:tcW w:w="2569" w:type="dxa"/>
            <w:tcBorders>
              <w:tl2br w:val="nil"/>
              <w:tr2bl w:val="nil"/>
            </w:tcBorders>
            <w:vAlign w:val="center"/>
          </w:tcPr>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自</w:t>
            </w:r>
            <w:r>
              <w:rPr>
                <w:rFonts w:hint="eastAsia" w:ascii="宋体" w:hAnsi="宋体" w:eastAsia="宋体" w:cs="宋体"/>
                <w:color w:val="auto"/>
                <w:sz w:val="15"/>
                <w:szCs w:val="15"/>
                <w:highlight w:val="none"/>
                <w:lang w:val="en-US" w:eastAsia="zh-CN"/>
              </w:rPr>
              <w:t>2020</w:t>
            </w:r>
            <w:r>
              <w:rPr>
                <w:rFonts w:hint="eastAsia" w:ascii="宋体" w:hAnsi="宋体" w:eastAsia="宋体" w:cs="宋体"/>
                <w:color w:val="auto"/>
                <w:sz w:val="15"/>
                <w:szCs w:val="15"/>
                <w:highlight w:val="none"/>
              </w:rPr>
              <w:t>年1月1日至投标截止日止，投标人</w:t>
            </w:r>
            <w:r>
              <w:rPr>
                <w:rFonts w:hint="eastAsia" w:ascii="宋体" w:hAnsi="宋体" w:eastAsia="宋体" w:cs="宋体"/>
                <w:color w:val="auto"/>
                <w:sz w:val="15"/>
                <w:szCs w:val="15"/>
                <w:highlight w:val="none"/>
                <w:lang w:val="en-US" w:eastAsia="zh-CN"/>
              </w:rPr>
              <w:t>承建过合同金额≧2000万总承包</w:t>
            </w:r>
            <w:r>
              <w:rPr>
                <w:rFonts w:hint="eastAsia" w:ascii="宋体" w:hAnsi="宋体" w:eastAsia="宋体" w:cs="宋体"/>
                <w:color w:val="auto"/>
                <w:sz w:val="15"/>
                <w:szCs w:val="15"/>
                <w:highlight w:val="none"/>
              </w:rPr>
              <w:t>业绩的。每个业绩得</w:t>
            </w:r>
            <w:r>
              <w:rPr>
                <w:rFonts w:hint="eastAsia" w:ascii="宋体" w:hAnsi="宋体" w:eastAsia="宋体" w:cs="宋体"/>
                <w:color w:val="auto"/>
                <w:sz w:val="15"/>
                <w:szCs w:val="15"/>
                <w:highlight w:val="none"/>
                <w:lang w:val="en-US" w:eastAsia="zh-CN"/>
              </w:rPr>
              <w:t>1.5</w:t>
            </w:r>
            <w:r>
              <w:rPr>
                <w:rFonts w:hint="eastAsia" w:ascii="宋体" w:hAnsi="宋体" w:eastAsia="宋体" w:cs="宋体"/>
                <w:color w:val="auto"/>
                <w:sz w:val="15"/>
                <w:szCs w:val="15"/>
                <w:highlight w:val="none"/>
              </w:rPr>
              <w:t>分。本项最高得</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sz w:val="15"/>
                <w:szCs w:val="15"/>
                <w:highlight w:val="none"/>
              </w:rPr>
              <w:t>分。</w:t>
            </w:r>
          </w:p>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注:</w:t>
            </w:r>
            <w:r>
              <w:rPr>
                <w:rFonts w:hint="eastAsia" w:ascii="宋体" w:hAnsi="宋体" w:eastAsia="宋体" w:cs="宋体"/>
                <w:color w:val="auto"/>
                <w:sz w:val="15"/>
                <w:szCs w:val="15"/>
                <w:highlight w:val="none"/>
                <w:lang w:val="en-US" w:eastAsia="zh-CN"/>
              </w:rPr>
              <w:t xml:space="preserve"> </w:t>
            </w:r>
            <w:r>
              <w:rPr>
                <w:rFonts w:hint="eastAsia" w:ascii="宋体" w:hAnsi="宋体" w:eastAsia="宋体" w:cs="宋体"/>
                <w:color w:val="auto"/>
                <w:sz w:val="15"/>
                <w:szCs w:val="15"/>
                <w:highlight w:val="none"/>
              </w:rPr>
              <w:t>①时间以合同签订时间为准。若为EPC 工程，投标人须在项目实施中担任施工方。</w:t>
            </w:r>
          </w:p>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②须提供中标通知书、合同关键页作证明材料</w:t>
            </w:r>
            <w:r>
              <w:rPr>
                <w:rFonts w:hint="eastAsia" w:ascii="宋体" w:hAnsi="宋体" w:eastAsia="宋体" w:cs="宋体"/>
                <w:color w:val="auto"/>
                <w:sz w:val="15"/>
                <w:szCs w:val="15"/>
                <w:highlight w:val="none"/>
                <w:lang w:val="en-US" w:eastAsia="zh-CN"/>
              </w:rPr>
              <w:t>截图</w:t>
            </w:r>
            <w:r>
              <w:rPr>
                <w:rFonts w:hint="eastAsia" w:ascii="宋体" w:hAnsi="宋体" w:eastAsia="宋体" w:cs="宋体"/>
                <w:color w:val="auto"/>
                <w:sz w:val="15"/>
                <w:szCs w:val="15"/>
                <w:highlight w:val="none"/>
              </w:rPr>
              <w:t>。</w:t>
            </w:r>
          </w:p>
          <w:p>
            <w:pPr>
              <w:bidi w:val="0"/>
              <w:jc w:val="left"/>
              <w:rPr>
                <w:rFonts w:hint="eastAsia" w:ascii="宋体" w:hAnsi="宋体" w:eastAsia="宋体" w:cs="宋体"/>
                <w:color w:val="auto"/>
                <w:sz w:val="15"/>
                <w:szCs w:val="15"/>
                <w:highlight w:val="none"/>
              </w:rPr>
            </w:pPr>
          </w:p>
        </w:tc>
        <w:tc>
          <w:tcPr>
            <w:tcW w:w="2569" w:type="dxa"/>
            <w:tcBorders>
              <w:tl2br w:val="nil"/>
              <w:tr2bl w:val="nil"/>
            </w:tcBorders>
            <w:vAlign w:val="center"/>
          </w:tcPr>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自20</w:t>
            </w:r>
            <w:r>
              <w:rPr>
                <w:rFonts w:hint="eastAsia" w:ascii="宋体" w:hAnsi="宋体" w:eastAsia="宋体" w:cs="宋体"/>
                <w:color w:val="auto"/>
                <w:sz w:val="15"/>
                <w:szCs w:val="15"/>
                <w:highlight w:val="none"/>
                <w:lang w:val="en-US" w:eastAsia="zh-CN"/>
              </w:rPr>
              <w:t>20</w:t>
            </w:r>
            <w:r>
              <w:rPr>
                <w:rFonts w:hint="eastAsia" w:ascii="宋体" w:hAnsi="宋体" w:eastAsia="宋体" w:cs="宋体"/>
                <w:color w:val="auto"/>
                <w:sz w:val="15"/>
                <w:szCs w:val="15"/>
                <w:highlight w:val="none"/>
              </w:rPr>
              <w:t>年1月1日至投标截止日止，投标人曾获得过建设行政主管部门或同级协会颁发的“先进单位”称号的，得</w:t>
            </w: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分，本项最高得</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分。</w:t>
            </w:r>
          </w:p>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注:时间以获奖证书发证日期为准</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zh-CN"/>
              </w:rPr>
              <w:t>投标人须提供相关证书复印件作证明材料</w:t>
            </w:r>
            <w:r>
              <w:rPr>
                <w:rFonts w:hint="eastAsia" w:ascii="宋体" w:hAnsi="宋体" w:eastAsia="宋体" w:cs="宋体"/>
                <w:color w:val="auto"/>
                <w:sz w:val="15"/>
                <w:szCs w:val="15"/>
                <w:highlight w:val="none"/>
              </w:rPr>
              <w:t>。</w:t>
            </w:r>
          </w:p>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投标人获得AAA级“企业信用等级证书”的得</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分;获AA级“企业信用等级证书”得</w:t>
            </w:r>
            <w:r>
              <w:rPr>
                <w:rFonts w:hint="eastAsia" w:ascii="宋体" w:hAnsi="宋体" w:eastAsia="宋体" w:cs="宋体"/>
                <w:color w:val="auto"/>
                <w:sz w:val="15"/>
                <w:szCs w:val="15"/>
                <w:highlight w:val="none"/>
                <w:lang w:val="en-US" w:eastAsia="zh-CN"/>
              </w:rPr>
              <w:t>5</w:t>
            </w:r>
            <w:r>
              <w:rPr>
                <w:rFonts w:hint="eastAsia" w:ascii="宋体" w:hAnsi="宋体" w:eastAsia="宋体" w:cs="宋体"/>
                <w:color w:val="auto"/>
                <w:sz w:val="15"/>
                <w:szCs w:val="15"/>
                <w:highlight w:val="none"/>
              </w:rPr>
              <w:t>分:获A级“企业信用等级证书”得</w:t>
            </w:r>
            <w:r>
              <w:rPr>
                <w:rFonts w:hint="eastAsia" w:ascii="宋体" w:hAnsi="宋体" w:eastAsia="宋体" w:cs="宋体"/>
                <w:color w:val="auto"/>
                <w:sz w:val="15"/>
                <w:szCs w:val="15"/>
                <w:highlight w:val="none"/>
                <w:lang w:val="en-US" w:eastAsia="zh-CN"/>
              </w:rPr>
              <w:t>4</w:t>
            </w:r>
            <w:r>
              <w:rPr>
                <w:rFonts w:hint="eastAsia" w:ascii="宋体" w:hAnsi="宋体" w:eastAsia="宋体" w:cs="宋体"/>
                <w:color w:val="auto"/>
                <w:sz w:val="15"/>
                <w:szCs w:val="15"/>
                <w:highlight w:val="none"/>
              </w:rPr>
              <w:t>分</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人获得</w:t>
            </w:r>
            <w:r>
              <w:rPr>
                <w:rFonts w:hint="eastAsia" w:ascii="宋体" w:hAnsi="宋体" w:eastAsia="宋体" w:cs="宋体"/>
                <w:color w:val="auto"/>
                <w:sz w:val="15"/>
                <w:szCs w:val="15"/>
                <w:highlight w:val="none"/>
                <w:lang w:val="en-US" w:eastAsia="zh-CN"/>
              </w:rPr>
              <w:t>BBB</w:t>
            </w:r>
            <w:r>
              <w:rPr>
                <w:rFonts w:hint="eastAsia" w:ascii="宋体" w:hAnsi="宋体" w:eastAsia="宋体" w:cs="宋体"/>
                <w:color w:val="auto"/>
                <w:sz w:val="15"/>
                <w:szCs w:val="15"/>
                <w:highlight w:val="none"/>
              </w:rPr>
              <w:t>级“企业信用等级证书”的得</w:t>
            </w: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分;获</w:t>
            </w:r>
            <w:r>
              <w:rPr>
                <w:rFonts w:hint="eastAsia" w:ascii="宋体" w:hAnsi="宋体" w:eastAsia="宋体" w:cs="宋体"/>
                <w:color w:val="auto"/>
                <w:sz w:val="15"/>
                <w:szCs w:val="15"/>
                <w:highlight w:val="none"/>
                <w:lang w:val="en-US" w:eastAsia="zh-CN"/>
              </w:rPr>
              <w:t>BB</w:t>
            </w:r>
            <w:r>
              <w:rPr>
                <w:rFonts w:hint="eastAsia" w:ascii="宋体" w:hAnsi="宋体" w:eastAsia="宋体" w:cs="宋体"/>
                <w:color w:val="auto"/>
                <w:sz w:val="15"/>
                <w:szCs w:val="15"/>
                <w:highlight w:val="none"/>
              </w:rPr>
              <w:t>级“企业信用等级证书”得</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分:获</w:t>
            </w:r>
            <w:r>
              <w:rPr>
                <w:rFonts w:hint="eastAsia" w:ascii="宋体" w:hAnsi="宋体" w:eastAsia="宋体" w:cs="宋体"/>
                <w:color w:val="auto"/>
                <w:sz w:val="15"/>
                <w:szCs w:val="15"/>
                <w:highlight w:val="none"/>
                <w:lang w:val="en-US" w:eastAsia="zh-CN"/>
              </w:rPr>
              <w:t>B</w:t>
            </w:r>
            <w:r>
              <w:rPr>
                <w:rFonts w:hint="eastAsia" w:ascii="宋体" w:hAnsi="宋体" w:eastAsia="宋体" w:cs="宋体"/>
                <w:color w:val="auto"/>
                <w:sz w:val="15"/>
                <w:szCs w:val="15"/>
                <w:highlight w:val="none"/>
              </w:rPr>
              <w:t>级“企业信用等级证书”得</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分</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没有的不得分。本项最高得</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分。</w:t>
            </w:r>
          </w:p>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注:</w:t>
            </w:r>
            <w:r>
              <w:rPr>
                <w:rFonts w:hint="eastAsia" w:ascii="宋体" w:hAnsi="宋体" w:eastAsia="宋体" w:cs="宋体"/>
                <w:color w:val="auto"/>
                <w:sz w:val="15"/>
                <w:szCs w:val="15"/>
                <w:highlight w:val="none"/>
                <w:lang w:val="zh-CN"/>
              </w:rPr>
              <w:t>投标人须提供相关证书复印件作证明材料</w:t>
            </w:r>
            <w:r>
              <w:rPr>
                <w:rFonts w:hint="eastAsia" w:ascii="宋体" w:hAnsi="宋体" w:eastAsia="宋体" w:cs="宋体"/>
                <w:color w:val="auto"/>
                <w:sz w:val="15"/>
                <w:szCs w:val="15"/>
                <w:highlight w:val="none"/>
              </w:rPr>
              <w:t>。</w:t>
            </w:r>
          </w:p>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投标人获得有效期内</w:t>
            </w:r>
            <w:r>
              <w:rPr>
                <w:rFonts w:hint="eastAsia" w:ascii="宋体" w:hAnsi="宋体" w:eastAsia="宋体" w:cs="宋体"/>
                <w:color w:val="auto"/>
                <w:sz w:val="15"/>
                <w:szCs w:val="15"/>
                <w:highlight w:val="none"/>
                <w:lang w:val="en-US" w:eastAsia="zh-CN"/>
              </w:rPr>
              <w:t>并通过年审的</w:t>
            </w:r>
            <w:r>
              <w:rPr>
                <w:rFonts w:hint="eastAsia" w:ascii="宋体" w:hAnsi="宋体" w:eastAsia="宋体" w:cs="宋体"/>
                <w:color w:val="auto"/>
                <w:sz w:val="15"/>
                <w:szCs w:val="15"/>
                <w:highlight w:val="none"/>
              </w:rPr>
              <w:t>质量管理体系认证证书（ISO）</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环境管理体系认证证书（ISO）</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职业健康安全管理体系认证证书（ISO），</w:t>
            </w:r>
            <w:r>
              <w:rPr>
                <w:rFonts w:hint="eastAsia" w:ascii="宋体" w:hAnsi="宋体" w:eastAsia="宋体" w:cs="宋体"/>
                <w:color w:val="auto"/>
                <w:sz w:val="15"/>
                <w:szCs w:val="15"/>
                <w:highlight w:val="none"/>
                <w:lang w:val="en-US" w:eastAsia="zh-CN"/>
              </w:rPr>
              <w:t>每提供一份</w:t>
            </w:r>
            <w:r>
              <w:rPr>
                <w:rFonts w:hint="eastAsia" w:ascii="宋体" w:hAnsi="宋体" w:eastAsia="宋体" w:cs="宋体"/>
                <w:color w:val="auto"/>
                <w:sz w:val="15"/>
                <w:szCs w:val="15"/>
                <w:highlight w:val="none"/>
              </w:rPr>
              <w:t>得</w:t>
            </w: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分。</w:t>
            </w:r>
            <w:r>
              <w:rPr>
                <w:rFonts w:hint="eastAsia" w:ascii="宋体" w:hAnsi="宋体" w:eastAsia="宋体" w:cs="宋体"/>
                <w:color w:val="auto"/>
                <w:sz w:val="15"/>
                <w:szCs w:val="15"/>
                <w:highlight w:val="none"/>
                <w:lang w:val="en-US" w:eastAsia="zh-CN"/>
              </w:rPr>
              <w:t>没有提供的不得分</w:t>
            </w:r>
            <w:r>
              <w:rPr>
                <w:rFonts w:hint="eastAsia" w:ascii="宋体" w:hAnsi="宋体" w:eastAsia="宋体" w:cs="宋体"/>
                <w:color w:val="auto"/>
                <w:sz w:val="15"/>
                <w:szCs w:val="15"/>
                <w:highlight w:val="none"/>
              </w:rPr>
              <w:t>。本项最高得</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sz w:val="15"/>
                <w:szCs w:val="15"/>
                <w:highlight w:val="none"/>
              </w:rPr>
              <w:t>分。</w:t>
            </w:r>
          </w:p>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注</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zh-CN"/>
              </w:rPr>
              <w:t>投标人须提供相关证书复印件作证明材料</w:t>
            </w:r>
            <w:r>
              <w:rPr>
                <w:rFonts w:hint="eastAsia" w:ascii="宋体" w:hAnsi="宋体" w:eastAsia="宋体" w:cs="宋体"/>
                <w:color w:val="auto"/>
                <w:sz w:val="15"/>
                <w:szCs w:val="15"/>
                <w:highlight w:val="none"/>
              </w:rPr>
              <w:t>。</w:t>
            </w:r>
          </w:p>
        </w:tc>
        <w:tc>
          <w:tcPr>
            <w:tcW w:w="2569" w:type="dxa"/>
            <w:tcBorders>
              <w:tl2br w:val="nil"/>
              <w:tr2bl w:val="nil"/>
            </w:tcBorders>
          </w:tcPr>
          <w:p>
            <w:pPr>
              <w:bidi w:val="0"/>
              <w:jc w:val="left"/>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根据投标人对项目组织机构、施工方案的针对性、具体性、合理性、可行性予以评分。措施为优得14分；良得9分；差得4分；无措施得0分。本项最高可得14分。</w:t>
            </w:r>
          </w:p>
          <w:p>
            <w:pPr>
              <w:bidi w:val="0"/>
              <w:jc w:val="left"/>
              <w:rPr>
                <w:rFonts w:hint="eastAsia" w:ascii="宋体" w:hAnsi="宋体" w:eastAsia="宋体" w:cs="宋体"/>
                <w:color w:val="auto"/>
                <w:sz w:val="15"/>
                <w:szCs w:val="15"/>
                <w:highlight w:val="none"/>
              </w:rPr>
            </w:pPr>
          </w:p>
        </w:tc>
        <w:tc>
          <w:tcPr>
            <w:tcW w:w="2569" w:type="dxa"/>
            <w:tcBorders>
              <w:tl2br w:val="nil"/>
              <w:tr2bl w:val="nil"/>
            </w:tcBorders>
          </w:tcPr>
          <w:p>
            <w:pPr>
              <w:bidi w:val="0"/>
              <w:jc w:val="left"/>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根据投标人施工进度计划和保证措施的针对性、具体性、合理性、可行性予以评分，措施为优得13分；良得8分；差得3分；无措施得0分。本项最高可得13分。</w:t>
            </w:r>
          </w:p>
          <w:p>
            <w:pPr>
              <w:bidi w:val="0"/>
              <w:jc w:val="left"/>
              <w:rPr>
                <w:rFonts w:hint="eastAsia" w:ascii="宋体" w:hAnsi="宋体" w:eastAsia="宋体" w:cs="宋体"/>
                <w:color w:val="auto"/>
                <w:sz w:val="15"/>
                <w:szCs w:val="15"/>
                <w:highlight w:val="none"/>
              </w:rPr>
            </w:pPr>
          </w:p>
        </w:tc>
        <w:tc>
          <w:tcPr>
            <w:tcW w:w="2570" w:type="dxa"/>
            <w:tcBorders>
              <w:tl2br w:val="nil"/>
              <w:tr2bl w:val="nil"/>
            </w:tcBorders>
          </w:tcPr>
          <w:p>
            <w:pPr>
              <w:bidi w:val="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根据投标人安全、文明施工、环保措施、质量保证措施的针对性、具体性、合理性、可行性予以评分，措施为优得13分；良得8分；差得3分；无措施得0分。本项最高可得13分。</w:t>
            </w:r>
          </w:p>
        </w:tc>
        <w:tc>
          <w:tcPr>
            <w:tcW w:w="541" w:type="dxa"/>
            <w:vMerge w:val="continue"/>
            <w:tcBorders>
              <w:tl2br w:val="nil"/>
              <w:tr2bl w:val="nil"/>
            </w:tcBorders>
          </w:tcPr>
          <w:p>
            <w:pPr>
              <w:rPr>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1" w:type="dxa"/>
            <w:tcBorders>
              <w:tl2br w:val="nil"/>
              <w:tr2bl w:val="nil"/>
            </w:tcBorders>
          </w:tcPr>
          <w:p>
            <w:pPr>
              <w:pStyle w:val="29"/>
              <w:spacing w:before="100"/>
              <w:ind w:left="231"/>
              <w:rPr>
                <w:color w:val="auto"/>
                <w:sz w:val="21"/>
                <w:highlight w:val="none"/>
              </w:rPr>
            </w:pPr>
            <w:r>
              <w:rPr>
                <w:color w:val="auto"/>
                <w:w w:val="99"/>
                <w:sz w:val="21"/>
                <w:highlight w:val="none"/>
              </w:rPr>
              <w:t>1</w:t>
            </w:r>
          </w:p>
        </w:tc>
        <w:tc>
          <w:tcPr>
            <w:tcW w:w="1160"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70" w:type="dxa"/>
            <w:tcBorders>
              <w:tl2br w:val="nil"/>
              <w:tr2bl w:val="nil"/>
            </w:tcBorders>
          </w:tcPr>
          <w:p>
            <w:pPr>
              <w:pStyle w:val="29"/>
              <w:rPr>
                <w:rFonts w:ascii="Times New Roman"/>
                <w:color w:val="auto"/>
                <w:sz w:val="20"/>
                <w:highlight w:val="none"/>
              </w:rPr>
            </w:pPr>
          </w:p>
        </w:tc>
        <w:tc>
          <w:tcPr>
            <w:tcW w:w="541" w:type="dxa"/>
            <w:tcBorders>
              <w:tl2br w:val="nil"/>
              <w:tr2bl w:val="nil"/>
            </w:tcBorders>
          </w:tcPr>
          <w:p>
            <w:pPr>
              <w:pStyle w:val="29"/>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1" w:type="dxa"/>
            <w:tcBorders>
              <w:tl2br w:val="nil"/>
              <w:tr2bl w:val="nil"/>
            </w:tcBorders>
          </w:tcPr>
          <w:p>
            <w:pPr>
              <w:pStyle w:val="29"/>
              <w:spacing w:before="100"/>
              <w:ind w:left="231"/>
              <w:rPr>
                <w:color w:val="auto"/>
                <w:sz w:val="21"/>
                <w:highlight w:val="none"/>
              </w:rPr>
            </w:pPr>
            <w:r>
              <w:rPr>
                <w:color w:val="auto"/>
                <w:w w:val="99"/>
                <w:sz w:val="21"/>
                <w:highlight w:val="none"/>
              </w:rPr>
              <w:t>2</w:t>
            </w:r>
          </w:p>
        </w:tc>
        <w:tc>
          <w:tcPr>
            <w:tcW w:w="1160"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70" w:type="dxa"/>
            <w:tcBorders>
              <w:tl2br w:val="nil"/>
              <w:tr2bl w:val="nil"/>
            </w:tcBorders>
          </w:tcPr>
          <w:p>
            <w:pPr>
              <w:pStyle w:val="29"/>
              <w:rPr>
                <w:rFonts w:ascii="Times New Roman"/>
                <w:color w:val="auto"/>
                <w:sz w:val="20"/>
                <w:highlight w:val="none"/>
              </w:rPr>
            </w:pPr>
          </w:p>
        </w:tc>
        <w:tc>
          <w:tcPr>
            <w:tcW w:w="541" w:type="dxa"/>
            <w:tcBorders>
              <w:tl2br w:val="nil"/>
              <w:tr2bl w:val="nil"/>
            </w:tcBorders>
          </w:tcPr>
          <w:p>
            <w:pPr>
              <w:pStyle w:val="29"/>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1" w:type="dxa"/>
            <w:tcBorders>
              <w:tl2br w:val="nil"/>
              <w:tr2bl w:val="nil"/>
            </w:tcBorders>
          </w:tcPr>
          <w:p>
            <w:pPr>
              <w:pStyle w:val="29"/>
              <w:spacing w:before="113"/>
              <w:ind w:left="178"/>
              <w:rPr>
                <w:rFonts w:ascii="Times New Roman" w:hAnsi="Times New Roman"/>
                <w:color w:val="auto"/>
                <w:sz w:val="21"/>
                <w:highlight w:val="none"/>
              </w:rPr>
            </w:pPr>
            <w:r>
              <w:rPr>
                <w:rFonts w:ascii="Times New Roman" w:hAnsi="Times New Roman"/>
                <w:color w:val="auto"/>
                <w:w w:val="99"/>
                <w:sz w:val="21"/>
                <w:highlight w:val="none"/>
              </w:rPr>
              <w:t>…</w:t>
            </w:r>
          </w:p>
        </w:tc>
        <w:tc>
          <w:tcPr>
            <w:tcW w:w="1160"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69" w:type="dxa"/>
            <w:tcBorders>
              <w:tl2br w:val="nil"/>
              <w:tr2bl w:val="nil"/>
            </w:tcBorders>
          </w:tcPr>
          <w:p>
            <w:pPr>
              <w:pStyle w:val="29"/>
              <w:rPr>
                <w:rFonts w:ascii="Times New Roman"/>
                <w:color w:val="auto"/>
                <w:sz w:val="20"/>
                <w:highlight w:val="none"/>
              </w:rPr>
            </w:pPr>
          </w:p>
        </w:tc>
        <w:tc>
          <w:tcPr>
            <w:tcW w:w="2570" w:type="dxa"/>
            <w:tcBorders>
              <w:tl2br w:val="nil"/>
              <w:tr2bl w:val="nil"/>
            </w:tcBorders>
          </w:tcPr>
          <w:p>
            <w:pPr>
              <w:pStyle w:val="29"/>
              <w:rPr>
                <w:rFonts w:ascii="Times New Roman"/>
                <w:color w:val="auto"/>
                <w:sz w:val="20"/>
                <w:highlight w:val="none"/>
              </w:rPr>
            </w:pPr>
          </w:p>
        </w:tc>
        <w:tc>
          <w:tcPr>
            <w:tcW w:w="541" w:type="dxa"/>
            <w:tcBorders>
              <w:tl2br w:val="nil"/>
              <w:tr2bl w:val="nil"/>
            </w:tcBorders>
          </w:tcPr>
          <w:p>
            <w:pPr>
              <w:pStyle w:val="29"/>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457" w:type="dxa"/>
            <w:gridSpan w:val="7"/>
            <w:tcBorders>
              <w:tl2br w:val="nil"/>
              <w:tr2bl w:val="nil"/>
            </w:tcBorders>
          </w:tcPr>
          <w:p>
            <w:pPr>
              <w:pStyle w:val="29"/>
              <w:ind w:left="106"/>
              <w:rPr>
                <w:b/>
                <w:color w:val="auto"/>
                <w:sz w:val="21"/>
                <w:highlight w:val="none"/>
              </w:rPr>
            </w:pPr>
            <w:r>
              <w:rPr>
                <w:b/>
                <w:bCs/>
                <w:color w:val="auto"/>
                <w:sz w:val="21"/>
                <w:szCs w:val="21"/>
                <w:highlight w:val="none"/>
              </w:rPr>
              <w:t>评分说明: 各评分内容得分以评标委员会各成员的打分的平均值确定,平均值保留小数点后两位，第三位四舍五入。</w:t>
            </w:r>
          </w:p>
        </w:tc>
        <w:tc>
          <w:tcPr>
            <w:tcW w:w="541" w:type="dxa"/>
            <w:tcBorders>
              <w:tl2br w:val="nil"/>
              <w:tr2bl w:val="nil"/>
            </w:tcBorders>
          </w:tcPr>
          <w:p>
            <w:pPr>
              <w:pStyle w:val="29"/>
              <w:ind w:left="106"/>
              <w:rPr>
                <w:b/>
                <w:bCs/>
                <w:color w:val="auto"/>
                <w:sz w:val="21"/>
                <w:szCs w:val="21"/>
                <w:highlight w:val="none"/>
              </w:rPr>
            </w:pPr>
          </w:p>
        </w:tc>
      </w:tr>
    </w:tbl>
    <w:p>
      <w:pPr>
        <w:pStyle w:val="14"/>
        <w:rPr>
          <w:color w:val="auto"/>
          <w:sz w:val="24"/>
          <w:highlight w:val="none"/>
        </w:rPr>
      </w:pPr>
    </w:p>
    <w:p>
      <w:pPr>
        <w:pStyle w:val="10"/>
        <w:outlineLvl w:val="9"/>
        <w:rPr>
          <w:color w:val="auto"/>
          <w:highlight w:val="none"/>
        </w:rPr>
      </w:pPr>
    </w:p>
    <w:p>
      <w:pPr>
        <w:pStyle w:val="10"/>
        <w:rPr>
          <w:color w:val="auto"/>
          <w:highlight w:val="none"/>
        </w:rPr>
      </w:pPr>
      <w:r>
        <w:rPr>
          <w:color w:val="auto"/>
          <w:highlight w:val="none"/>
        </w:rPr>
        <w:t>评委（签名）：</w:t>
      </w:r>
    </w:p>
    <w:p>
      <w:pPr>
        <w:spacing w:after="0"/>
        <w:rPr>
          <w:color w:val="auto"/>
          <w:highlight w:val="none"/>
        </w:rPr>
        <w:sectPr>
          <w:footerReference r:id="rId20" w:type="default"/>
          <w:pgSz w:w="16840" w:h="11910" w:orient="landscape"/>
          <w:pgMar w:top="1100" w:right="960" w:bottom="1240" w:left="1100" w:header="0" w:footer="1059" w:gutter="0"/>
          <w:pgBorders>
            <w:top w:val="none" w:sz="0" w:space="0"/>
            <w:left w:val="none" w:sz="0" w:space="0"/>
            <w:bottom w:val="none" w:sz="0" w:space="0"/>
            <w:right w:val="none" w:sz="0" w:space="0"/>
          </w:pgBorders>
          <w:pgNumType w:fmt="decimal"/>
          <w:cols w:space="720" w:num="1"/>
        </w:sectPr>
      </w:pPr>
    </w:p>
    <w:p>
      <w:pPr>
        <w:pStyle w:val="14"/>
        <w:spacing w:before="4"/>
        <w:rPr>
          <w:color w:val="auto"/>
          <w:sz w:val="26"/>
          <w:highlight w:val="none"/>
        </w:rPr>
      </w:pPr>
    </w:p>
    <w:p>
      <w:pPr>
        <w:spacing w:before="54"/>
        <w:ind w:left="4433" w:right="5098" w:firstLine="0"/>
        <w:jc w:val="center"/>
        <w:rPr>
          <w:b/>
          <w:color w:val="auto"/>
          <w:sz w:val="32"/>
          <w:highlight w:val="none"/>
        </w:rPr>
      </w:pPr>
      <w:r>
        <w:rPr>
          <w:b/>
          <w:color w:val="auto"/>
          <w:sz w:val="32"/>
          <w:highlight w:val="none"/>
        </w:rPr>
        <w:t>评审结果汇总记录表</w:t>
      </w:r>
    </w:p>
    <w:p>
      <w:pPr>
        <w:pStyle w:val="14"/>
        <w:spacing w:before="11"/>
        <w:rPr>
          <w:b/>
          <w:color w:val="auto"/>
          <w:sz w:val="38"/>
          <w:highlight w:val="none"/>
        </w:rPr>
      </w:pPr>
    </w:p>
    <w:p>
      <w:pPr>
        <w:bidi w:val="0"/>
        <w:rPr>
          <w:color w:val="auto"/>
          <w:sz w:val="24"/>
          <w:szCs w:val="24"/>
          <w:highlight w:val="none"/>
        </w:rPr>
      </w:pPr>
      <w:r>
        <w:rPr>
          <w:rFonts w:hint="default"/>
          <w:color w:val="auto"/>
          <w:sz w:val="24"/>
          <w:szCs w:val="24"/>
          <w:highlight w:val="none"/>
          <w:lang w:val="en-US"/>
        </w:rPr>
        <mc:AlternateContent>
          <mc:Choice Requires="wps">
            <w:drawing>
              <wp:anchor distT="0" distB="0" distL="114300" distR="114300" simplePos="0" relativeHeight="251671552" behindDoc="0" locked="0" layoutInCell="1" allowOverlap="1">
                <wp:simplePos x="0" y="0"/>
                <wp:positionH relativeFrom="page">
                  <wp:posOffset>1001395</wp:posOffset>
                </wp:positionH>
                <wp:positionV relativeFrom="paragraph">
                  <wp:posOffset>443865</wp:posOffset>
                </wp:positionV>
                <wp:extent cx="8768080" cy="2559050"/>
                <wp:effectExtent l="0" t="0" r="0" b="0"/>
                <wp:wrapNone/>
                <wp:docPr id="42" name="文本框 47"/>
                <wp:cNvGraphicFramePr/>
                <a:graphic xmlns:a="http://schemas.openxmlformats.org/drawingml/2006/main">
                  <a:graphicData uri="http://schemas.microsoft.com/office/word/2010/wordprocessingShape">
                    <wps:wsp>
                      <wps:cNvSpPr txBox="1"/>
                      <wps:spPr>
                        <a:xfrm>
                          <a:off x="0" y="0"/>
                          <a:ext cx="8768080" cy="2559050"/>
                        </a:xfrm>
                        <a:prstGeom prst="rect">
                          <a:avLst/>
                        </a:prstGeom>
                        <a:noFill/>
                        <a:ln>
                          <a:noFill/>
                        </a:ln>
                      </wps:spPr>
                      <wps:txbx>
                        <w:txbxContent>
                          <w:p>
                            <w:pPr>
                              <w:pStyle w:val="14"/>
                            </w:pPr>
                          </w:p>
                        </w:txbxContent>
                      </wps:txbx>
                      <wps:bodyPr lIns="0" tIns="0" rIns="0" bIns="0" upright="1"/>
                    </wps:wsp>
                  </a:graphicData>
                </a:graphic>
              </wp:anchor>
            </w:drawing>
          </mc:Choice>
          <mc:Fallback>
            <w:pict>
              <v:shape id="文本框 47" o:spid="_x0000_s1026" o:spt="202" type="#_x0000_t202" style="position:absolute;left:0pt;margin-left:78.85pt;margin-top:34.95pt;height:201.5pt;width:690.4pt;mso-position-horizontal-relative:page;z-index:251671552;mso-width-relative:page;mso-height-relative:page;" filled="f" stroked="f" coordsize="21600,21600" o:gfxdata="UEsDBAoAAAAAAIdO4kAAAAAAAAAAAAAAAAAEAAAAZHJzL1BLAwQUAAAACACHTuJAaT72INoAAAAL&#10;AQAADwAAAGRycy9kb3ducmV2LnhtbE2Py07DMBBF90j8gzVI7KjdQpImxKkQghUSIg0Llk48TazG&#10;4xC7D/4edwXLqzm690y5OduRHXH2xpGE5UIAQ+qcNtRL+Gxe79bAfFCk1egIJfygh011fVWqQrsT&#10;1Xjchp7FEvKFkjCEMBWc+25Aq/zCTUjxtnOzVSHGued6VqdYbke+EiLlVhmKC4Oa8HnAbr89WAlP&#10;X1S/mO/39qPe1aZpckFv6V7K25uleAQW8Bz+YLjoR3WoolPrDqQ9G2NOsiyiEtI8B3YBkvt1AqyV&#10;8JCtcuBVyf//UP0CUEsDBBQAAAAIAIdO4kA6R8c8vwEAAHUDAAAOAAAAZHJzL2Uyb0RvYy54bWyt&#10;U0Fu2zAQvBfoHwjeaypGnDiC5QCBkaJA0RZI+wCaIi0CJJcgaUv+QPuDnnrpve/yO7qkLSdNLznk&#10;Qq12V7Mzs9TidrCG7GSIGlxDLyYVJdIJaLXbNPTb1/t3c0pi4q7lBpxs6F5Gert8+2bR+1pOoQPT&#10;ykAQxMW69w3tUvI1Y1F00vI4AS8dFhUEyxO+hg1rA+8R3Ro2raor1kNofQAhY8Ts6likJ8TwEkBQ&#10;Sgu5ArG10qUjapCGJ5QUO+0jXRa2SkmRPisVZSKmoag0lROHYLzOJ1sueL0J3HdanCjwl1B4psly&#10;7XDoGWrFEyfboP+DsloEiKDSRIBlRyHFEVRxUT3z5qHjXhYtaHX0Z9Pj68GKT7svgei2oZdTShy3&#10;uPHDzx+HX38Ov7+Ty+tsUO9jjX0PHjvTcAcDXpsxHzGZdQ8q2PxERQTraO/+bK8cEhGYnF9fzas5&#10;lgTWprPZTTUrC2CPn/sQ03sJluSgoQH3V2zlu48xIRVsHVvyNAf32piyQ+P+SWBjzrDM/cgxR2lY&#10;DydBa2j3qMd8cOhmvhljEMZgPQZbH/SmQzpFdYHEbRQyp5uT1/30vQx+/Fu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PvYg2gAAAAsBAAAPAAAAAAAAAAEAIAAAACIAAABkcnMvZG93bnJldi54&#10;bWxQSwECFAAUAAAACACHTuJAOkfHPL8BAAB1AwAADgAAAAAAAAABACAAAAApAQAAZHJzL2Uyb0Rv&#10;Yy54bWxQSwUGAAAAAAYABgBZAQAAWgUAAAAA&#10;">
                <v:fill on="f" focussize="0,0"/>
                <v:stroke on="f"/>
                <v:imagedata o:title=""/>
                <o:lock v:ext="edit" aspectratio="f"/>
                <v:textbox inset="0mm,0mm,0mm,0mm">
                  <w:txbxContent>
                    <w:p>
                      <w:pPr>
                        <w:pStyle w:val="14"/>
                      </w:pPr>
                    </w:p>
                  </w:txbxContent>
                </v:textbox>
              </v:shape>
            </w:pict>
          </mc:Fallback>
        </mc:AlternateContent>
      </w:r>
      <w:r>
        <w:rPr>
          <w:rFonts w:hint="eastAsia"/>
          <w:color w:val="auto"/>
          <w:sz w:val="24"/>
          <w:szCs w:val="24"/>
          <w:highlight w:val="none"/>
          <w:lang w:val="en-US" w:eastAsia="zh-CN"/>
        </w:rPr>
        <w:t>工程名称</w:t>
      </w:r>
      <w:r>
        <w:rPr>
          <w:color w:val="auto"/>
          <w:sz w:val="24"/>
          <w:szCs w:val="24"/>
          <w:highlight w:val="none"/>
        </w:rPr>
        <w:t>：</w:t>
      </w:r>
      <w:r>
        <w:rPr>
          <w:rFonts w:hint="eastAsia"/>
          <w:color w:val="auto"/>
          <w:sz w:val="24"/>
          <w:szCs w:val="24"/>
          <w:highlight w:val="none"/>
          <w:lang w:eastAsia="zh-CN"/>
        </w:rPr>
        <w:t>云安区生猪产业园—优质生猪标准化规模养殖基地项目</w:t>
      </w:r>
      <w:r>
        <w:rPr>
          <w:rFonts w:hint="eastAsia"/>
          <w:color w:val="auto"/>
          <w:sz w:val="24"/>
          <w:szCs w:val="24"/>
          <w:highlight w:val="none"/>
          <w:lang w:val="en-US" w:eastAsia="zh-CN"/>
        </w:rPr>
        <w:t xml:space="preserve">             </w:t>
      </w: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 xml:space="preserve">月 </w:t>
      </w:r>
      <w:r>
        <w:rPr>
          <w:rFonts w:hint="eastAsia"/>
          <w:color w:val="auto"/>
          <w:sz w:val="24"/>
          <w:szCs w:val="24"/>
          <w:highlight w:val="none"/>
          <w:lang w:val="en-US" w:eastAsia="zh-CN"/>
        </w:rPr>
        <w:t xml:space="preserve">  </w:t>
      </w:r>
      <w:r>
        <w:rPr>
          <w:color w:val="auto"/>
          <w:sz w:val="24"/>
          <w:szCs w:val="24"/>
          <w:highlight w:val="none"/>
        </w:rPr>
        <w:t>日</w:t>
      </w:r>
    </w:p>
    <w:p>
      <w:pPr>
        <w:pStyle w:val="14"/>
        <w:rPr>
          <w:color w:val="auto"/>
          <w:sz w:val="24"/>
          <w:highlight w:val="none"/>
        </w:rPr>
      </w:pPr>
    </w:p>
    <w:tbl>
      <w:tblPr>
        <w:tblStyle w:val="23"/>
        <w:tblpPr w:leftFromText="180" w:rightFromText="180" w:vertAnchor="text" w:horzAnchor="page" w:tblpX="1148" w:tblpY="160"/>
        <w:tblOverlap w:val="never"/>
        <w:tblW w:w="139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835"/>
        <w:gridCol w:w="2551"/>
        <w:gridCol w:w="2268"/>
        <w:gridCol w:w="1843"/>
        <w:gridCol w:w="1417"/>
        <w:gridCol w:w="2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851" w:type="dxa"/>
          </w:tcPr>
          <w:p>
            <w:pPr>
              <w:bidi w:val="0"/>
              <w:jc w:val="center"/>
              <w:rPr>
                <w:color w:val="auto"/>
                <w:highlight w:val="none"/>
              </w:rPr>
            </w:pPr>
          </w:p>
          <w:p>
            <w:pPr>
              <w:bidi w:val="0"/>
              <w:jc w:val="center"/>
              <w:rPr>
                <w:color w:val="auto"/>
                <w:highlight w:val="none"/>
              </w:rPr>
            </w:pPr>
            <w:r>
              <w:rPr>
                <w:color w:val="auto"/>
                <w:highlight w:val="none"/>
              </w:rPr>
              <w:t>序号</w:t>
            </w:r>
          </w:p>
        </w:tc>
        <w:tc>
          <w:tcPr>
            <w:tcW w:w="2835" w:type="dxa"/>
          </w:tcPr>
          <w:p>
            <w:pPr>
              <w:bidi w:val="0"/>
              <w:jc w:val="center"/>
              <w:rPr>
                <w:color w:val="auto"/>
                <w:highlight w:val="none"/>
              </w:rPr>
            </w:pPr>
          </w:p>
          <w:p>
            <w:pPr>
              <w:bidi w:val="0"/>
              <w:jc w:val="center"/>
              <w:rPr>
                <w:color w:val="auto"/>
                <w:highlight w:val="none"/>
              </w:rPr>
            </w:pPr>
            <w:r>
              <w:rPr>
                <w:color w:val="auto"/>
                <w:highlight w:val="none"/>
              </w:rPr>
              <w:t>投标人名称</w:t>
            </w:r>
          </w:p>
        </w:tc>
        <w:tc>
          <w:tcPr>
            <w:tcW w:w="2551" w:type="dxa"/>
          </w:tcPr>
          <w:p>
            <w:pPr>
              <w:bidi w:val="0"/>
              <w:jc w:val="center"/>
              <w:rPr>
                <w:color w:val="auto"/>
                <w:highlight w:val="none"/>
              </w:rPr>
            </w:pPr>
          </w:p>
          <w:p>
            <w:pPr>
              <w:bidi w:val="0"/>
              <w:jc w:val="center"/>
              <w:rPr>
                <w:color w:val="auto"/>
                <w:highlight w:val="none"/>
              </w:rPr>
            </w:pPr>
            <w:r>
              <w:rPr>
                <w:color w:val="auto"/>
                <w:highlight w:val="none"/>
              </w:rPr>
              <w:t>投标报价得分</w:t>
            </w:r>
          </w:p>
        </w:tc>
        <w:tc>
          <w:tcPr>
            <w:tcW w:w="2268" w:type="dxa"/>
          </w:tcPr>
          <w:p>
            <w:pPr>
              <w:bidi w:val="0"/>
              <w:jc w:val="center"/>
              <w:rPr>
                <w:color w:val="auto"/>
                <w:highlight w:val="none"/>
              </w:rPr>
            </w:pPr>
          </w:p>
          <w:p>
            <w:pPr>
              <w:bidi w:val="0"/>
              <w:jc w:val="center"/>
              <w:rPr>
                <w:color w:val="auto"/>
                <w:highlight w:val="none"/>
              </w:rPr>
            </w:pPr>
            <w:r>
              <w:rPr>
                <w:rFonts w:hint="eastAsia"/>
                <w:color w:val="auto"/>
                <w:highlight w:val="none"/>
                <w:lang w:val="en-US" w:eastAsia="zh-CN"/>
              </w:rPr>
              <w:t>详细</w:t>
            </w:r>
            <w:r>
              <w:rPr>
                <w:color w:val="auto"/>
                <w:highlight w:val="none"/>
              </w:rPr>
              <w:t>评审得分</w:t>
            </w:r>
          </w:p>
        </w:tc>
        <w:tc>
          <w:tcPr>
            <w:tcW w:w="1843" w:type="dxa"/>
          </w:tcPr>
          <w:p>
            <w:pPr>
              <w:bidi w:val="0"/>
              <w:jc w:val="center"/>
              <w:rPr>
                <w:color w:val="auto"/>
                <w:highlight w:val="none"/>
              </w:rPr>
            </w:pPr>
          </w:p>
          <w:p>
            <w:pPr>
              <w:bidi w:val="0"/>
              <w:jc w:val="center"/>
              <w:rPr>
                <w:color w:val="auto"/>
                <w:highlight w:val="none"/>
              </w:rPr>
            </w:pPr>
            <w:r>
              <w:rPr>
                <w:color w:val="auto"/>
                <w:highlight w:val="none"/>
              </w:rPr>
              <w:t>综合得分</w:t>
            </w:r>
          </w:p>
        </w:tc>
        <w:tc>
          <w:tcPr>
            <w:tcW w:w="1417" w:type="dxa"/>
          </w:tcPr>
          <w:p>
            <w:pPr>
              <w:bidi w:val="0"/>
              <w:jc w:val="center"/>
              <w:rPr>
                <w:color w:val="auto"/>
                <w:highlight w:val="none"/>
              </w:rPr>
            </w:pPr>
          </w:p>
          <w:p>
            <w:pPr>
              <w:bidi w:val="0"/>
              <w:jc w:val="center"/>
              <w:rPr>
                <w:color w:val="auto"/>
                <w:highlight w:val="none"/>
              </w:rPr>
            </w:pPr>
            <w:r>
              <w:rPr>
                <w:color w:val="auto"/>
                <w:highlight w:val="none"/>
              </w:rPr>
              <w:t>排名</w:t>
            </w:r>
          </w:p>
        </w:tc>
        <w:tc>
          <w:tcPr>
            <w:tcW w:w="2159" w:type="dxa"/>
          </w:tcPr>
          <w:p>
            <w:pPr>
              <w:bidi w:val="0"/>
              <w:jc w:val="center"/>
              <w:rPr>
                <w:color w:val="auto"/>
                <w:highlight w:val="none"/>
              </w:rPr>
            </w:pPr>
          </w:p>
          <w:p>
            <w:pPr>
              <w:bidi w:val="0"/>
              <w:jc w:val="center"/>
              <w:rPr>
                <w:color w:val="auto"/>
                <w:highlight w:val="none"/>
              </w:rPr>
            </w:pPr>
            <w:r>
              <w:rPr>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851" w:type="dxa"/>
          </w:tcPr>
          <w:p>
            <w:pPr>
              <w:bidi w:val="0"/>
              <w:jc w:val="center"/>
              <w:rPr>
                <w:color w:val="auto"/>
                <w:highlight w:val="none"/>
              </w:rPr>
            </w:pPr>
          </w:p>
          <w:p>
            <w:pPr>
              <w:bidi w:val="0"/>
              <w:jc w:val="center"/>
              <w:rPr>
                <w:color w:val="auto"/>
                <w:highlight w:val="none"/>
              </w:rPr>
            </w:pPr>
            <w:r>
              <w:rPr>
                <w:color w:val="auto"/>
                <w:highlight w:val="none"/>
              </w:rPr>
              <w:t>1</w:t>
            </w:r>
          </w:p>
        </w:tc>
        <w:tc>
          <w:tcPr>
            <w:tcW w:w="2835" w:type="dxa"/>
          </w:tcPr>
          <w:p>
            <w:pPr>
              <w:pStyle w:val="29"/>
              <w:rPr>
                <w:rFonts w:ascii="Times New Roman"/>
                <w:color w:val="auto"/>
                <w:sz w:val="22"/>
                <w:highlight w:val="none"/>
              </w:rPr>
            </w:pPr>
          </w:p>
        </w:tc>
        <w:tc>
          <w:tcPr>
            <w:tcW w:w="2551" w:type="dxa"/>
          </w:tcPr>
          <w:p>
            <w:pPr>
              <w:pStyle w:val="29"/>
              <w:rPr>
                <w:rFonts w:ascii="Times New Roman"/>
                <w:color w:val="auto"/>
                <w:sz w:val="22"/>
                <w:highlight w:val="none"/>
              </w:rPr>
            </w:pPr>
          </w:p>
        </w:tc>
        <w:tc>
          <w:tcPr>
            <w:tcW w:w="2268" w:type="dxa"/>
          </w:tcPr>
          <w:p>
            <w:pPr>
              <w:pStyle w:val="29"/>
              <w:rPr>
                <w:rFonts w:ascii="Times New Roman"/>
                <w:color w:val="auto"/>
                <w:sz w:val="22"/>
                <w:highlight w:val="none"/>
              </w:rPr>
            </w:pPr>
          </w:p>
        </w:tc>
        <w:tc>
          <w:tcPr>
            <w:tcW w:w="1843" w:type="dxa"/>
          </w:tcPr>
          <w:p>
            <w:pPr>
              <w:pStyle w:val="29"/>
              <w:rPr>
                <w:rFonts w:ascii="Times New Roman"/>
                <w:color w:val="auto"/>
                <w:sz w:val="22"/>
                <w:highlight w:val="none"/>
              </w:rPr>
            </w:pPr>
          </w:p>
        </w:tc>
        <w:tc>
          <w:tcPr>
            <w:tcW w:w="1417" w:type="dxa"/>
          </w:tcPr>
          <w:p>
            <w:pPr>
              <w:pStyle w:val="29"/>
              <w:rPr>
                <w:rFonts w:ascii="Times New Roman"/>
                <w:color w:val="auto"/>
                <w:sz w:val="22"/>
                <w:highlight w:val="none"/>
              </w:rPr>
            </w:pPr>
          </w:p>
        </w:tc>
        <w:tc>
          <w:tcPr>
            <w:tcW w:w="2159" w:type="dxa"/>
            <w:vMerge w:val="restart"/>
          </w:tcPr>
          <w:p>
            <w:pPr>
              <w:pStyle w:val="29"/>
              <w:rPr>
                <w:color w:val="auto"/>
                <w:sz w:val="22"/>
                <w:highlight w:val="none"/>
              </w:rPr>
            </w:pPr>
          </w:p>
          <w:p>
            <w:pPr>
              <w:pStyle w:val="29"/>
              <w:rPr>
                <w:color w:val="auto"/>
                <w:sz w:val="22"/>
                <w:highlight w:val="none"/>
              </w:rPr>
            </w:pPr>
          </w:p>
          <w:p>
            <w:pPr>
              <w:pStyle w:val="29"/>
              <w:spacing w:before="7"/>
              <w:rPr>
                <w:color w:val="auto"/>
                <w:sz w:val="26"/>
                <w:highlight w:val="none"/>
              </w:rPr>
            </w:pPr>
          </w:p>
          <w:p>
            <w:pPr>
              <w:pStyle w:val="29"/>
              <w:spacing w:line="266" w:lineRule="auto"/>
              <w:ind w:left="308" w:right="186" w:hanging="111"/>
              <w:rPr>
                <w:color w:val="auto"/>
                <w:sz w:val="22"/>
                <w:highlight w:val="none"/>
              </w:rPr>
            </w:pPr>
            <w:r>
              <w:rPr>
                <w:color w:val="auto"/>
                <w:highlight w:val="none"/>
              </w:rPr>
              <w:t>评委推荐的中标候选人（前三位</w:t>
            </w:r>
            <w:r>
              <w:rPr>
                <w:color w:val="auto"/>
                <w:sz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851" w:type="dxa"/>
          </w:tcPr>
          <w:p>
            <w:pPr>
              <w:bidi w:val="0"/>
              <w:jc w:val="center"/>
              <w:rPr>
                <w:color w:val="auto"/>
                <w:highlight w:val="none"/>
              </w:rPr>
            </w:pPr>
          </w:p>
          <w:p>
            <w:pPr>
              <w:bidi w:val="0"/>
              <w:jc w:val="center"/>
              <w:rPr>
                <w:color w:val="auto"/>
                <w:highlight w:val="none"/>
              </w:rPr>
            </w:pPr>
            <w:r>
              <w:rPr>
                <w:color w:val="auto"/>
                <w:highlight w:val="none"/>
              </w:rPr>
              <w:t>2</w:t>
            </w:r>
          </w:p>
        </w:tc>
        <w:tc>
          <w:tcPr>
            <w:tcW w:w="2835" w:type="dxa"/>
          </w:tcPr>
          <w:p>
            <w:pPr>
              <w:pStyle w:val="29"/>
              <w:rPr>
                <w:rFonts w:ascii="Times New Roman"/>
                <w:color w:val="auto"/>
                <w:sz w:val="22"/>
                <w:highlight w:val="none"/>
              </w:rPr>
            </w:pPr>
          </w:p>
        </w:tc>
        <w:tc>
          <w:tcPr>
            <w:tcW w:w="2551" w:type="dxa"/>
          </w:tcPr>
          <w:p>
            <w:pPr>
              <w:pStyle w:val="29"/>
              <w:rPr>
                <w:rFonts w:ascii="Times New Roman"/>
                <w:color w:val="auto"/>
                <w:sz w:val="22"/>
                <w:highlight w:val="none"/>
              </w:rPr>
            </w:pPr>
          </w:p>
        </w:tc>
        <w:tc>
          <w:tcPr>
            <w:tcW w:w="2268" w:type="dxa"/>
          </w:tcPr>
          <w:p>
            <w:pPr>
              <w:pStyle w:val="29"/>
              <w:rPr>
                <w:rFonts w:ascii="Times New Roman"/>
                <w:color w:val="auto"/>
                <w:sz w:val="22"/>
                <w:highlight w:val="none"/>
              </w:rPr>
            </w:pPr>
          </w:p>
        </w:tc>
        <w:tc>
          <w:tcPr>
            <w:tcW w:w="1843" w:type="dxa"/>
          </w:tcPr>
          <w:p>
            <w:pPr>
              <w:pStyle w:val="29"/>
              <w:rPr>
                <w:rFonts w:ascii="Times New Roman"/>
                <w:color w:val="auto"/>
                <w:sz w:val="22"/>
                <w:highlight w:val="none"/>
              </w:rPr>
            </w:pPr>
          </w:p>
        </w:tc>
        <w:tc>
          <w:tcPr>
            <w:tcW w:w="1417" w:type="dxa"/>
          </w:tcPr>
          <w:p>
            <w:pPr>
              <w:pStyle w:val="29"/>
              <w:rPr>
                <w:rFonts w:ascii="Times New Roman"/>
                <w:color w:val="auto"/>
                <w:sz w:val="22"/>
                <w:highlight w:val="none"/>
              </w:rPr>
            </w:pPr>
          </w:p>
        </w:tc>
        <w:tc>
          <w:tcPr>
            <w:tcW w:w="2159" w:type="dxa"/>
            <w:vMerge w:val="continue"/>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851" w:type="dxa"/>
          </w:tcPr>
          <w:p>
            <w:pPr>
              <w:pStyle w:val="29"/>
              <w:spacing w:before="12"/>
              <w:rPr>
                <w:color w:val="auto"/>
                <w:sz w:val="20"/>
                <w:highlight w:val="none"/>
              </w:rPr>
            </w:pPr>
          </w:p>
          <w:p>
            <w:pPr>
              <w:pStyle w:val="29"/>
              <w:ind w:left="7"/>
              <w:jc w:val="center"/>
              <w:rPr>
                <w:rFonts w:ascii="Times New Roman" w:hAnsi="Times New Roman"/>
                <w:color w:val="auto"/>
                <w:sz w:val="22"/>
                <w:highlight w:val="none"/>
              </w:rPr>
            </w:pPr>
            <w:r>
              <w:rPr>
                <w:rFonts w:ascii="Times New Roman" w:hAnsi="Times New Roman"/>
                <w:color w:val="auto"/>
                <w:w w:val="100"/>
                <w:sz w:val="22"/>
                <w:highlight w:val="none"/>
              </w:rPr>
              <w:t>…</w:t>
            </w:r>
          </w:p>
        </w:tc>
        <w:tc>
          <w:tcPr>
            <w:tcW w:w="2835" w:type="dxa"/>
          </w:tcPr>
          <w:p>
            <w:pPr>
              <w:pStyle w:val="29"/>
              <w:rPr>
                <w:rFonts w:ascii="Times New Roman"/>
                <w:color w:val="auto"/>
                <w:sz w:val="22"/>
                <w:highlight w:val="none"/>
              </w:rPr>
            </w:pPr>
          </w:p>
        </w:tc>
        <w:tc>
          <w:tcPr>
            <w:tcW w:w="2551" w:type="dxa"/>
          </w:tcPr>
          <w:p>
            <w:pPr>
              <w:pStyle w:val="29"/>
              <w:rPr>
                <w:rFonts w:ascii="Times New Roman"/>
                <w:color w:val="auto"/>
                <w:sz w:val="22"/>
                <w:highlight w:val="none"/>
              </w:rPr>
            </w:pPr>
          </w:p>
        </w:tc>
        <w:tc>
          <w:tcPr>
            <w:tcW w:w="2268" w:type="dxa"/>
          </w:tcPr>
          <w:p>
            <w:pPr>
              <w:pStyle w:val="29"/>
              <w:rPr>
                <w:rFonts w:ascii="Times New Roman"/>
                <w:color w:val="auto"/>
                <w:sz w:val="22"/>
                <w:highlight w:val="none"/>
              </w:rPr>
            </w:pPr>
          </w:p>
        </w:tc>
        <w:tc>
          <w:tcPr>
            <w:tcW w:w="1843" w:type="dxa"/>
          </w:tcPr>
          <w:p>
            <w:pPr>
              <w:pStyle w:val="29"/>
              <w:rPr>
                <w:rFonts w:ascii="Times New Roman"/>
                <w:color w:val="auto"/>
                <w:sz w:val="22"/>
                <w:highlight w:val="none"/>
              </w:rPr>
            </w:pPr>
          </w:p>
        </w:tc>
        <w:tc>
          <w:tcPr>
            <w:tcW w:w="1417" w:type="dxa"/>
          </w:tcPr>
          <w:p>
            <w:pPr>
              <w:pStyle w:val="29"/>
              <w:rPr>
                <w:rFonts w:ascii="Times New Roman"/>
                <w:color w:val="auto"/>
                <w:sz w:val="22"/>
                <w:highlight w:val="none"/>
              </w:rPr>
            </w:pPr>
          </w:p>
        </w:tc>
        <w:tc>
          <w:tcPr>
            <w:tcW w:w="2159" w:type="dxa"/>
            <w:vMerge w:val="continue"/>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3924" w:type="dxa"/>
            <w:gridSpan w:val="7"/>
          </w:tcPr>
          <w:p>
            <w:pPr>
              <w:pStyle w:val="29"/>
              <w:rPr>
                <w:color w:val="auto"/>
                <w:sz w:val="20"/>
                <w:highlight w:val="none"/>
              </w:rPr>
            </w:pPr>
          </w:p>
          <w:p>
            <w:pPr>
              <w:pStyle w:val="29"/>
              <w:ind w:left="107"/>
              <w:rPr>
                <w:color w:val="auto"/>
                <w:sz w:val="22"/>
                <w:highlight w:val="none"/>
              </w:rPr>
            </w:pPr>
            <w:r>
              <w:rPr>
                <w:color w:val="auto"/>
                <w:highlight w:val="none"/>
              </w:rPr>
              <w:t>评</w:t>
            </w:r>
            <w:r>
              <w:rPr>
                <w:rFonts w:hint="eastAsia"/>
                <w:color w:val="auto"/>
                <w:highlight w:val="none"/>
                <w:lang w:eastAsia="zh-CN"/>
              </w:rPr>
              <w:t>标</w:t>
            </w:r>
            <w:r>
              <w:rPr>
                <w:rFonts w:hint="eastAsia"/>
                <w:color w:val="auto"/>
                <w:highlight w:val="none"/>
                <w:lang w:val="en-US" w:eastAsia="zh-CN"/>
              </w:rPr>
              <w:t>委员会</w:t>
            </w:r>
            <w:r>
              <w:rPr>
                <w:color w:val="auto"/>
                <w:highlight w:val="none"/>
              </w:rPr>
              <w:t>（签名）</w:t>
            </w:r>
            <w:r>
              <w:rPr>
                <w:color w:val="auto"/>
                <w:sz w:val="22"/>
                <w:highlight w:val="none"/>
              </w:rPr>
              <w:t>：</w:t>
            </w:r>
          </w:p>
        </w:tc>
      </w:tr>
    </w:tbl>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rPr>
          <w:color w:val="auto"/>
          <w:sz w:val="24"/>
          <w:highlight w:val="none"/>
        </w:rPr>
      </w:pPr>
    </w:p>
    <w:p>
      <w:pPr>
        <w:pStyle w:val="14"/>
        <w:spacing w:before="10"/>
        <w:rPr>
          <w:color w:val="auto"/>
          <w:highlight w:val="none"/>
        </w:rPr>
      </w:pPr>
    </w:p>
    <w:p>
      <w:pPr>
        <w:pStyle w:val="11"/>
        <w:ind w:left="340"/>
        <w:rPr>
          <w:color w:val="auto"/>
          <w:highlight w:val="none"/>
        </w:rPr>
      </w:pPr>
    </w:p>
    <w:sectPr>
      <w:pgSz w:w="16840" w:h="11910" w:orient="landscape"/>
      <w:pgMar w:top="1100" w:right="960" w:bottom="1240" w:left="1100" w:header="0" w:footer="105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posOffset>3216275</wp:posOffset>
              </wp:positionH>
              <wp:positionV relativeFrom="page">
                <wp:posOffset>9860915</wp:posOffset>
              </wp:positionV>
              <wp:extent cx="412750" cy="213360"/>
              <wp:effectExtent l="0" t="0" r="0" b="0"/>
              <wp:wrapNone/>
              <wp:docPr id="52" name="文本框 10"/>
              <wp:cNvGraphicFramePr/>
              <a:graphic xmlns:a="http://schemas.openxmlformats.org/drawingml/2006/main">
                <a:graphicData uri="http://schemas.microsoft.com/office/word/2010/wordprocessingShape">
                  <wps:wsp>
                    <wps:cNvSpPr txBox="1"/>
                    <wps:spPr>
                      <a:xfrm>
                        <a:off x="0" y="0"/>
                        <a:ext cx="412750" cy="21336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90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53.25pt;margin-top:776.45pt;height:16.8pt;width:32.5pt;mso-position-horizontal-relative:margin;mso-position-vertical-relative:page;z-index:251666432;mso-width-relative:page;mso-height-relative:page;" filled="f" stroked="f" coordsize="21600,21600" o:gfxdata="UEsDBAoAAAAAAIdO4kAAAAAAAAAAAAAAAAAEAAAAZHJzL1BLAwQUAAAACACHTuJAzlE/R9kAAAAN&#10;AQAADwAAAGRycy9kb3ducmV2LnhtbE2PzU7DMBCE70i8g7VI3KidSg5tiFMhBCckRBoOHJ3YTazG&#10;6xC7P7w92xM97sxo9ptyc/YjO9o5uoAKsoUAZrELxmGv4Kt5e1gBi0mj0WNAq+DXRthUtzelLkw4&#10;YW2P29QzKsFYaAVDSlPBeewG63VchMkiebswe53onHtuZn2icj/ypRA599ohfRj0ZF8G2+23B6/g&#10;+RvrV/fz0X7Wu9o1zVrge75X6v4uE0/Akj2n/zBc8AkdKmJqwwFNZKMCKXJJUTKkXK6BUUQ+ZiS1&#10;F2lFJq9Kfr2i+gNQSwMEFAAAAAgAh07iQE+pv2W6AQAAcwMAAA4AAABkcnMvZTJvRG9jLnhtbK1T&#10;S27bMBDdF+gdCO5rWsqnhWA5QGAkKFC0BdIegKZIiwB/4NCWfIH2Bl11033P5XN0SP+aZJNFNtRo&#10;ZvTmvTfU7Ga0hmxkBO1dS6vJlBLphO+0W7X0+7e7dx8ogcRdx413sqVbCfRm/vbNbAiNrH3vTScj&#10;QRAHzRBa2qcUGsZA9NJymPggHRaVj5YnfI0r1kU+ILo1rJ5Or9ngYxeiFxIAs4t9kR4Q40sAvVJa&#10;yIUXaytd2qNGaXhCSdDrAHRe2ColRfqiFMhETEtRaSonDsF4mU82n/FmFXnotThQ4C+h8EST5drh&#10;0BPUgidO1lE/g7JaRA9epYnwlu2FFEdQRTV94s1Dz4MsWtBqCCfT4fVgxefN10h019KrmhLHLW58&#10;9+vn7vff3Z8fpCoGDQEa7HsI2JnGWz/itcnG5TxgMuseVbT5iYoI1tHe7cleOSYiMHlZ1e+vsCKw&#10;VFcXF9cFnZ0/DhHSvfSW5KClEbdXTOWbT5BwILYeW/Is5++0MWWDxj1KYGPOsDPDHKVxOR5oL323&#10;RTXmo0Mv8704BvEYLI/BOkS96pFO0VwgcReFzOHe5GX//14Gn/+V+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UT9H2QAAAA0BAAAPAAAAAAAAAAEAIAAAACIAAABkcnMvZG93bnJldi54bWxQSwEC&#10;FAAUAAAACACHTuJAT6m/ZboBAABzAwAADgAAAAAAAAABACAAAAAoAQAAZHJzL2Uyb0RvYy54bWxQ&#10;SwUGAAAAAAYABgBZAQAAVAU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90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6748145</wp:posOffset>
              </wp:positionV>
              <wp:extent cx="355600" cy="203835"/>
              <wp:effectExtent l="0" t="0" r="0" b="0"/>
              <wp:wrapNone/>
              <wp:docPr id="63" name="文本框 11"/>
              <wp:cNvGraphicFramePr/>
              <a:graphic xmlns:a="http://schemas.openxmlformats.org/drawingml/2006/main">
                <a:graphicData uri="http://schemas.microsoft.com/office/word/2010/wordprocessingShape">
                  <wps:wsp>
                    <wps:cNvSpPr txBox="1"/>
                    <wps:spPr>
                      <a:xfrm>
                        <a:off x="0" y="0"/>
                        <a:ext cx="355600" cy="203835"/>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96</w:t>
                          </w:r>
                          <w:r>
                            <w:fldChar w:fldCharType="end"/>
                          </w:r>
                        </w:p>
                      </w:txbxContent>
                    </wps:txbx>
                    <wps:bodyPr lIns="0" tIns="0" rIns="0" bIns="0" upright="1"/>
                  </wps:wsp>
                </a:graphicData>
              </a:graphic>
            </wp:anchor>
          </w:drawing>
        </mc:Choice>
        <mc:Fallback>
          <w:pict>
            <v:shape id="文本框 11" o:spid="_x0000_s1026" o:spt="202" type="#_x0000_t202" style="position:absolute;left:0pt;margin-top:531.35pt;height:16.05pt;width:28pt;mso-position-horizontal:center;mso-position-horizontal-relative:margin;mso-position-vertical-relative:page;z-index:251667456;mso-width-relative:page;mso-height-relative:page;" filled="f" stroked="f" coordsize="21600,21600" o:gfxdata="UEsDBAoAAAAAAIdO4kAAAAAAAAAAAAAAAAAEAAAAZHJzL1BLAwQUAAAACACHTuJA4hpoTtcAAAAJ&#10;AQAADwAAAGRycy9kb3ducmV2LnhtbE2PzU7DMBCE70i8g7VI3KjdCkIb4lQIwQkJkYYDRyfeJlbj&#10;dYjdH96e7Yke95vR7EyxPvlBHHCKLpCG+UyBQGqDddRp+Krf7pYgYjJkzRAINfxihHV5fVWY3IYj&#10;VXjYpE5wCMXcaOhTGnMpY9ujN3EWRiTWtmHyJvE5ddJO5sjhfpALpTLpjSP+0JsRX3psd5u91/D8&#10;TdWr+/loPqtt5ep6peg922l9ezNXTyASntK/Gc71uTqU3KkJe7JRDBp4SGKqssUjCNYfMibNmazu&#10;lyDLQl4uKP8AUEsDBBQAAAAIAIdO4kDLfqKWugEAAHMDAAAOAAAAZHJzL2Uyb0RvYy54bWytU0tu&#10;2zAQ3RfoHQjua8o2bASC5QCBkaJA0RZIewCaoiwC/GFIW/IFkht01U33PZfP0SFlOb9NFtlQo5nR&#10;m/feUKvr3mhykBCUsxWdTgpKpBWuVnZX0V8/bz9dURIitzXXzsqKHmWg1+uPH1adL+XMtU7XEgiC&#10;2FB2vqJtjL5kLIhWGh4mzkuLxcaB4RFfYcdq4B2iG81mRbFknYPagxMyBMxuhiI9I8JbAF3TKCE3&#10;TuyNtHFABal5REmhVT7QdWbbNFLE700TZCS6oqg05hOHYLxNJ1uveLkD7lslzhT4Wyi80GS4sjj0&#10;ArXhkZM9qFdQRglwwTVxIpxhg5DsCKqYFi+8uWu5l1kLWh38xfTwfrDi2+EHEFVXdDmnxHKDGz/9&#10;fjj9+Xf6e0+m02RQ50OJfXceO2N/43q8NmM+YDLp7hsw6YmKCNbR3uPFXtlHIjA5XyyWBVYElmbF&#10;/Gq+SCjs8WMPIX6WzpAUVBRwe9lUfvga4tA6tqRZ1t0qrfMGtX2WQMyUYYn5wDBFsd/2ZzlbVx9R&#10;jf5i0ct0L8YAxmA7BnsPatcinaw5Q+IuMu/zvUnLfvqeBz/+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4hpoTtcAAAAJAQAADwAAAAAAAAABACAAAAAiAAAAZHJzL2Rvd25yZXYueG1sUEsBAhQA&#10;FAAAAAgAh07iQMt+opa6AQAAcwMAAA4AAAAAAAAAAQAgAAAAJgEAAGRycy9lMm9Eb2MueG1sUEsF&#10;BgAAAAAGAAYAWQEAAFIFA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96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7456" behindDoc="0" locked="0" layoutInCell="1" allowOverlap="1">
              <wp:simplePos x="0" y="0"/>
              <wp:positionH relativeFrom="margin">
                <wp:posOffset>4591050</wp:posOffset>
              </wp:positionH>
              <wp:positionV relativeFrom="page">
                <wp:posOffset>6757670</wp:posOffset>
              </wp:positionV>
              <wp:extent cx="469900" cy="184785"/>
              <wp:effectExtent l="0" t="0" r="0" b="0"/>
              <wp:wrapNone/>
              <wp:docPr id="53" name="文本框 11"/>
              <wp:cNvGraphicFramePr/>
              <a:graphic xmlns:a="http://schemas.openxmlformats.org/drawingml/2006/main">
                <a:graphicData uri="http://schemas.microsoft.com/office/word/2010/wordprocessingShape">
                  <wps:wsp>
                    <wps:cNvSpPr txBox="1"/>
                    <wps:spPr>
                      <a:xfrm>
                        <a:off x="0" y="0"/>
                        <a:ext cx="469900" cy="184785"/>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96</w:t>
                          </w:r>
                          <w:r>
                            <w:fldChar w:fldCharType="end"/>
                          </w:r>
                        </w:p>
                      </w:txbxContent>
                    </wps:txbx>
                    <wps:bodyPr lIns="0" tIns="0" rIns="0" bIns="0" upright="1"/>
                  </wps:wsp>
                </a:graphicData>
              </a:graphic>
            </wp:anchor>
          </w:drawing>
        </mc:Choice>
        <mc:Fallback>
          <w:pict>
            <v:shape id="文本框 11" o:spid="_x0000_s1026" o:spt="202" type="#_x0000_t202" style="position:absolute;left:0pt;margin-left:361.5pt;margin-top:532.1pt;height:14.55pt;width:37pt;mso-position-horizontal-relative:margin;mso-position-vertical-relative:page;z-index:251667456;mso-width-relative:page;mso-height-relative:page;" filled="f" stroked="f" coordsize="21600,21600" o:gfxdata="UEsDBAoAAAAAAIdO4kAAAAAAAAAAAAAAAAAEAAAAZHJzL1BLAwQUAAAACACHTuJAv4+gK9oAAAAN&#10;AQAADwAAAGRycy9kb3ducmV2LnhtbE2PzU7DMBCE70i8g7VI3KjdBCUkxKkQghMSIg0Hjk7sJlbj&#10;dYjdH96e7QmOOzOa/abanN3EjmYJ1qOE9UoAM9h7bXGQ8Nm+3j0AC1GhVpNHI+HHBNjU11eVKrU/&#10;YWOO2zgwKsFQKgljjHPJeehH41RY+dkgeTu/OBXpXAauF3WicjfxRIiMO2WRPoxqNs+j6ffbg5Pw&#10;9IXNi/1+7z6aXWPbthD4lu2lvL1Zi0dg0ZzjXxgu+IQONTF1/oA6sElCnqS0JZIhsvsEGEXyIiep&#10;u0hFmgKvK/5/Rf0LUEsDBBQAAAAIAIdO4kA/Wz2kvAEAAHMDAAAOAAAAZHJzL2Uyb0RvYy54bWyt&#10;U0tu2zAQ3RfIHQjuY0lpkjqC5QCFkSBA0RZIewCaIi0C/GFIW/IF2ht01U33PZfPkSFlOW26yaIb&#10;ajQzevPeG2pxOxhNdgKCcrah1aykRFjuWmU3Df365e58TkmIzLZMOysauheB3i7P3ix6X4sL1znd&#10;CiAIYkPd+4Z2Mfq6KALvhGFh5rywWJQODIv4CpuiBdYjutHFRVleF72D1oPjIgTMrsYiPSLCawCd&#10;lIqLleNbI2wcUUFoFlFS6JQPdJnZSil4/CRlEJHohqLSmE8cgvE6ncVyweoNMN8pfqTAXkPhhSbD&#10;lMWhJ6gVi4xsQf0DZRQHF5yMM+5MMQrJjqCKqnzhzWPHvMha0OrgT6aH/wfLP+4+A1FtQ6/eUmKZ&#10;wY0ffnw//Px9+PWNVFUyqPehxr5Hj51xeO8GvDZTPmAy6R4kmPRERQTraO/+ZK8YIuGYvLy+uSmx&#10;wrFUzS/fza8SSvH8sYcQ74UzJAUNBdxeNpXtPoQ4tk4taZZ1d0rrvEFt/0ogZsoUifnIMEVxWA9H&#10;OWvX7lGNfrDoZboXUwBTsJ6CrQe16ZBO1pwhcReZ9/HepGX/+Z4HP/8ryy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j6Ar2gAAAA0BAAAPAAAAAAAAAAEAIAAAACIAAABkcnMvZG93bnJldi54bWxQ&#10;SwECFAAUAAAACACHTuJAP1s9pLwBAABzAwAADgAAAAAAAAABACAAAAApAQAAZHJzL2Uyb0RvYy54&#10;bWxQSwUGAAAAAAYABgBZAQAAVwU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96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8480" behindDoc="0" locked="0" layoutInCell="1" allowOverlap="1">
              <wp:simplePos x="0" y="0"/>
              <wp:positionH relativeFrom="margin">
                <wp:posOffset>4552950</wp:posOffset>
              </wp:positionH>
              <wp:positionV relativeFrom="page">
                <wp:posOffset>6748145</wp:posOffset>
              </wp:positionV>
              <wp:extent cx="374650" cy="165735"/>
              <wp:effectExtent l="0" t="0" r="0" b="0"/>
              <wp:wrapNone/>
              <wp:docPr id="54" name="文本框 12"/>
              <wp:cNvGraphicFramePr/>
              <a:graphic xmlns:a="http://schemas.openxmlformats.org/drawingml/2006/main">
                <a:graphicData uri="http://schemas.microsoft.com/office/word/2010/wordprocessingShape">
                  <wps:wsp>
                    <wps:cNvSpPr txBox="1"/>
                    <wps:spPr>
                      <a:xfrm>
                        <a:off x="0" y="0"/>
                        <a:ext cx="374650" cy="165735"/>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100</w:t>
                          </w:r>
                          <w:r>
                            <w:fldChar w:fldCharType="end"/>
                          </w:r>
                        </w:p>
                      </w:txbxContent>
                    </wps:txbx>
                    <wps:bodyPr lIns="0" tIns="0" rIns="0" bIns="0" upright="1"/>
                  </wps:wsp>
                </a:graphicData>
              </a:graphic>
            </wp:anchor>
          </w:drawing>
        </mc:Choice>
        <mc:Fallback>
          <w:pict>
            <v:shape id="文本框 12" o:spid="_x0000_s1026" o:spt="202" type="#_x0000_t202" style="position:absolute;left:0pt;margin-left:358.5pt;margin-top:531.35pt;height:13.05pt;width:29.5pt;mso-position-horizontal-relative:margin;mso-position-vertical-relative:page;z-index:251668480;mso-width-relative:page;mso-height-relative:page;" filled="f" stroked="f" coordsize="21600,21600" o:gfxdata="UEsDBAoAAAAAAIdO4kAAAAAAAAAAAAAAAAAEAAAAZHJzL1BLAwQUAAAACACHTuJA0H5e7NkAAAAN&#10;AQAADwAAAGRycy9kb3ducmV2LnhtbE2PzU7DMBCE70i8g7VI3KidHuIQ4lQIwQkJkaYHjk7sJlbj&#10;dYjdH96e7QmOOzOa/abaXPzETnaJLqCCbCWAWeyDcTgo2LVvDwWwmDQaPQW0Cn5shE19e1Pp0oQz&#10;Nva0TQOjEoylVjCmNJecx360XsdVmC2Stw+L14nOZeBm0Wcq9xNfC5Fzrx3Sh1HP9mW0/WF79Aqe&#10;v7B5dd8f3Wezb1zbPgp8zw9K3d9l4glYspf0F4YrPqFDTUxdOKKJbFIgM0lbEhkiX0tgFJEyJ6m7&#10;SkVRAK8r/n9F/QtQSwMEFAAAAAgAh07iQLcesCu8AQAAcwMAAA4AAABkcnMvZTJvRG9jLnhtbK1T&#10;wY7TMBC9I/EPlu/UbXfbRVHTlVC1CAkB0sIHuI7dWLI9lu026Q/AH3Diwp3v6ncwdpouu3vZAxdn&#10;MjN5894bZ3XbW0MOMkQNrqazyZQS6QQ02u1q+u3r3Zu3lMTEXcMNOFnTo4z0dv361arzlZxDC6aR&#10;gSCIi1Xna9qm5CvGomil5XECXjosKgiWJ3wNO9YE3iG6NWw+nS5ZB6HxAYSMEbOboUjPiOElgKCU&#10;FnIDYm+lSwNqkIYnlBRb7SNdF7ZKSZE+KxVlIqamqDSVE4dgvM0nW694tQvct1qcKfCXUHiiyXLt&#10;cOgFasMTJ/ugn0FZLQJEUGkiwLJBSHEEVcymT7y5b7mXRQtaHf3F9Pj/YMWnw5dAdFPTxTUljlvc&#10;+Onnj9OvP6ff38lsng3qfKyw795jZ+rfQY/XZsxHTGbdvQo2P1ERwTrae7zYK/tEBCavbq6XC6wI&#10;LM2Wi5urRUZhDx/7ENN7CZbkoKYBt1dM5YePMQ2tY0ue5eBOG1M2aNyjBGLmDMvMB4Y5Sv22P8vZ&#10;QnNENeaDQy/zvRiDMAbbMdj7oHct0imaCyTuovA+35u87H/fy+CHf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B+XuzZAAAADQEAAA8AAAAAAAAAAQAgAAAAIgAAAGRycy9kb3ducmV2LnhtbFBL&#10;AQIUABQAAAAIAIdO4kC3HrArvAEAAHMDAAAOAAAAAAAAAAEAIAAAACgBAABkcnMvZTJvRG9jLnht&#10;bFBLBQYAAAAABgAGAFkBAABWBQ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9879965</wp:posOffset>
              </wp:positionV>
              <wp:extent cx="127000" cy="194310"/>
              <wp:effectExtent l="0" t="0" r="0" b="0"/>
              <wp:wrapNone/>
              <wp:docPr id="55" name="文本框 1"/>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文本框 1" o:spid="_x0000_s1026" o:spt="202" type="#_x0000_t202" style="position:absolute;left:0pt;margin-top:777.95pt;height:15.3pt;width:10pt;mso-position-horizontal:center;mso-position-horizontal-relative:margin;mso-position-vertical-relative:page;z-index:251660288;mso-width-relative:page;mso-height-relative:page;" filled="f" stroked="f" coordsize="21600,21600" o:gfxdata="UEsDBAoAAAAAAIdO4kAAAAAAAAAAAAAAAAAEAAAAZHJzL1BLAwQUAAAACACHTuJA+btJFNYAAAAJ&#10;AQAADwAAAGRycy9kb3ducmV2LnhtbE2PzU7DMBCE70i8g7VI3KhdpERtiFMhBCckRJoeODrxNrEa&#10;r0Ps/vD2bE9w3JnVzDfl5uJHccI5ukAalgsFAqkL1lGvYde8PaxAxGTImjEQavjBCJvq9qY0hQ1n&#10;qvG0Tb3gEIqF0TCkNBVSxm5Ab+IiTEjs7cPsTeJz7qWdzZnD/SgflcqlN464YTATvgzYHbZHr+H5&#10;i+pX9/3Rftb72jXNWtF7ftD6/m6pnkAkvKS/Z7jiMzpUzNSGI9koRg08JLGaZdkaBPvcBqK9Kqs8&#10;A1mV8v+C6hdQSwMEFAAAAAgAh07iQGUQLQG7AQAAcgMAAA4AAABkcnMvZTJvRG9jLnhtbK1TS27b&#10;MBDdF8gdCO5jSm7Sj2A5QGEkKFC0BdIegKZIiwB/GNKWfIH2Bl11033P5XNkSFtOm26y6IYazgwf&#10;33tDLW5Ga8hOQtTetbSeVZRIJ3yn3aalX7/cXr6hJCbuOm68ky3dy0hvlhcvFkNo5Nz33nQSCIK4&#10;2AyhpX1KoWEsil5aHmc+SIdF5cHyhFvYsA74gOjWsHlVvWKDhy6AFzJGzK6ORXpChOcAeqW0kCsv&#10;tla6dEQFaXhCSbHXIdJlYauUFOmTUlEmYlqKSlNZ8RKM13llywVvNsBDr8WJAn8OhSeaLNcOLz1D&#10;rXjiZAv6HyirBfjoVZoJb9lRSHEEVdTVE2/uex5k0YJWx3A2Pf4/WPFx9xmI7lp6fU2J4xYnfvjx&#10;/fDz9+HXN1Jnf4YQG2y7D9iYxnd+xFcz5SMms+xRgc1fFESwju7uz+7KMRGRD81fVxVWBJbqt1cv&#10;6+I+ezwcIKY76S3JQUsBh1c85bsPMSERbJ1a8l3O32pjygCN+yuBjTnDMvMjwxylcT2e5Kx9t0c1&#10;5r1DK/OzmAKYgvUUbAPoTY90iuYCiaMoZE7PJs/6z325+PFXWT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tJFNYAAAAJAQAADwAAAAAAAAABACAAAAAiAAAAZHJzL2Rvd25yZXYueG1sUEsBAhQA&#10;FAAAAAgAh07iQGUQLQG7AQAAcgMAAA4AAAAAAAAAAQAgAAAAJQEAAGRycy9lMm9Eb2MueG1sUEsF&#10;BgAAAAAGAAYAWQEAAFIFA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9879965</wp:posOffset>
              </wp:positionV>
              <wp:extent cx="203200" cy="194310"/>
              <wp:effectExtent l="0" t="0" r="0" b="0"/>
              <wp:wrapNone/>
              <wp:docPr id="44" name="文本框 2"/>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top:777.95pt;height:15.3pt;width:16pt;mso-position-horizontal:center;mso-position-horizontal-relative:margin;mso-position-vertical-relative:page;z-index:251661312;mso-width-relative:page;mso-height-relative:page;" filled="f" stroked="f" coordsize="21600,21600" o:gfxdata="UEsDBAoAAAAAAIdO4kAAAAAAAAAAAAAAAAAEAAAAZHJzL1BLAwQUAAAACACHTuJAOJVvYtcAAAAJ&#10;AQAADwAAAGRycy9kb3ducmV2LnhtbE2PzU7DMBCE70i8g7WVuFG7RYnaNE6FEJyQEGk4cHTibRI1&#10;XofY/eHt2Z7ocb8Zzc7k24sbxAmn0HvSsJgrEEiNtz21Gr6qt8cViBANWTN4Qg2/GGBb3N/lJrP+&#10;TCWedrEVHEIhMxq6GMdMytB06EyY+xGJtb2fnIl8Tq20kzlzuBvkUqlUOtMTf+jMiC8dNofd0Wl4&#10;/qbytf/5qD/LfdlX1VrRe3rQ+mG2UBsQES/x3wzX+lwdCu5U+yPZIAYNPCQyTZJkDYL1pyWT+kpW&#10;aQKyyOXtguIPUEsDBBQAAAAIAIdO4kCnSaVFugEAAHIDAAAOAAAAZHJzL2Uyb0RvYy54bWytU8GO&#10;0zAQvSPxD5bvNGm3QhA1XQlVi5AQIC18gOvYjSXbY3ncJv0B+ANOXLjzXf0Oxm7TheWyBy7OZGby&#10;5r03zup2dJYdVEQDvuXzWc2Z8hI643ct//L57sUrzjAJ3wkLXrX8qJDfrp8/Ww2hUQvowXYqMgLx&#10;2Ayh5X1KoakqlL1yAmcQlKeihuhEote4q7ooBkJ3tlrU9ctqgNiFCFIhUnZzLvILYnwKIGhtpNqA&#10;3Dvl0xk1KisSScLeBOTrwlZrJdNHrVElZltOSlM5aQjF23xW65VodlGE3sgLBfEUCo80OWE8Db1C&#10;bUQSbB/NP1DOyAgIOs0kuOospDhCKub1I2/uexFU0UJWY7iajv8PVn44fIrMdC1fLjnzwtHGT9+/&#10;nX78Ov38yhbZnyFgQ233gRrT+AZGujVTHimZZY86uvwkQYzq5O7x6q4aE5OUXNQ3tH/OJJXmr5c3&#10;8+J+9fBxiJjeKnAsBy2PtLziqTi8x0REqHVqybM83BlrywKt/ytBjTlTZeZnhjlK43a8yNlCdyQ1&#10;9p0nK/O1mII4Bdsp2Idodj3RKZoLJK2ikLlcm7zrP9/L4IdfZ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JVvYtcAAAAJAQAADwAAAAAAAAABACAAAAAiAAAAZHJzL2Rvd25yZXYueG1sUEsBAhQA&#10;FAAAAAgAh07iQKdJpUW6AQAAcgMAAA4AAAAAAAAAAQAgAAAAJgEAAGRycy9lMm9Eb2MueG1sUEsF&#10;BgAAAAAGAAYAWQEAAFIFA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9879965</wp:posOffset>
              </wp:positionV>
              <wp:extent cx="203200" cy="194310"/>
              <wp:effectExtent l="0" t="0" r="0" b="0"/>
              <wp:wrapNone/>
              <wp:docPr id="45" name="文本框 3"/>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top:777.95pt;height:15.3pt;width:16pt;mso-position-horizontal:center;mso-position-horizontal-relative:margin;mso-position-vertical-relative:page;z-index:251662336;mso-width-relative:page;mso-height-relative:page;" filled="f" stroked="f" coordsize="21600,21600" o:gfxdata="UEsDBAoAAAAAAIdO4kAAAAAAAAAAAAAAAAAEAAAAZHJzL1BLAwQUAAAACACHTuJAOJVvYtcAAAAJ&#10;AQAADwAAAGRycy9kb3ducmV2LnhtbE2PzU7DMBCE70i8g7WVuFG7RYnaNE6FEJyQEGk4cHTibRI1&#10;XofY/eHt2Z7ocb8Zzc7k24sbxAmn0HvSsJgrEEiNtz21Gr6qt8cViBANWTN4Qg2/GGBb3N/lJrP+&#10;TCWedrEVHEIhMxq6GMdMytB06EyY+xGJtb2fnIl8Tq20kzlzuBvkUqlUOtMTf+jMiC8dNofd0Wl4&#10;/qbytf/5qD/LfdlX1VrRe3rQ+mG2UBsQES/x3wzX+lwdCu5U+yPZIAYNPCQyTZJkDYL1pyWT+kpW&#10;aQKyyOXtguIPUEsDBBQAAAAIAIdO4kBSuIzmuwEAAHIDAAAOAAAAZHJzL2Uyb0RvYy54bWytU0tu&#10;2zAQ3RfIHQjua8p2WjSC5QCFkaBA0RZIcgCaIi0C/GFIW/IF2ht01U33PZfP0SFtOW2yySIbajQz&#10;evPeG2pxPVhDdhKi9q6h00lFiXTCt9ptGvpwf/P2AyUxcddy451s6F5Ger28eLPoQy1nvvOmlUAQ&#10;xMW6Dw3tUgo1Y1F00vI48UE6LCoPlid8hQ1rgfeIbg2bVdV71ntoA3ghY8Ts6likJ0R4CaBXSgu5&#10;8mJrpUtHVJCGJ5QUOx0iXRa2SkmRvioVZSKmoag0lROHYLzOJ1sueL0BHjotThT4Syg80WS5djj0&#10;DLXiiZMt6GdQVgvw0as0Ed6yo5DiCKqYVk+8uet4kEULWh3D2fT4erDiy+4bEN029PIdJY5b3Pjh&#10;54/Drz+H39/JPPvTh1hj213AxjR89APemjEfMZllDwpsfqIggnV0d392Vw6JCEzOqjnunxKBpenV&#10;5Xxa3GePHweI6VZ6S3LQUMDlFU/57nNMSARbx5Y8y/kbbUxZoHH/JbAxZ1hmfmSYozSsh5OctW/3&#10;qMZ8cmhlvhZjAGOwHoNtAL3pkE7RXCBxFYXM6drkXf/7XgY//ir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iVb2LXAAAACQEAAA8AAAAAAAAAAQAgAAAAIgAAAGRycy9kb3ducmV2LnhtbFBLAQIU&#10;ABQAAAAIAIdO4kBSuIzmuwEAAHIDAAAOAAAAAAAAAAEAIAAAACYBAABkcnMvZTJvRG9jLnhtbFBL&#10;BQYAAAAABgAGAFkBAABTBQ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9879965</wp:posOffset>
              </wp:positionV>
              <wp:extent cx="203200" cy="194310"/>
              <wp:effectExtent l="0" t="0" r="0" b="0"/>
              <wp:wrapNone/>
              <wp:docPr id="46" name="文本框 4"/>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32</w:t>
                          </w:r>
                          <w:r>
                            <w:fldChar w:fldCharType="end"/>
                          </w:r>
                        </w:p>
                      </w:txbxContent>
                    </wps:txbx>
                    <wps:bodyPr lIns="0" tIns="0" rIns="0" bIns="0" upright="1"/>
                  </wps:wsp>
                </a:graphicData>
              </a:graphic>
            </wp:anchor>
          </w:drawing>
        </mc:Choice>
        <mc:Fallback>
          <w:pict>
            <v:shape id="文本框 4" o:spid="_x0000_s1026" o:spt="202" type="#_x0000_t202" style="position:absolute;left:0pt;margin-top:777.95pt;height:15.3pt;width:16pt;mso-position-horizontal:center;mso-position-horizontal-relative:margin;mso-position-vertical-relative:page;z-index:251663360;mso-width-relative:page;mso-height-relative:page;" filled="f" stroked="f" coordsize="21600,21600" o:gfxdata="UEsDBAoAAAAAAIdO4kAAAAAAAAAAAAAAAAAEAAAAZHJzL1BLAwQUAAAACACHTuJAOJVvYtcAAAAJ&#10;AQAADwAAAGRycy9kb3ducmV2LnhtbE2PzU7DMBCE70i8g7WVuFG7RYnaNE6FEJyQEGk4cHTibRI1&#10;XofY/eHt2Z7ocb8Zzc7k24sbxAmn0HvSsJgrEEiNtz21Gr6qt8cViBANWTN4Qg2/GGBb3N/lJrP+&#10;TCWedrEVHEIhMxq6GMdMytB06EyY+xGJtb2fnIl8Tq20kzlzuBvkUqlUOtMTf+jMiC8dNofd0Wl4&#10;/qbytf/5qD/LfdlX1VrRe3rQ+mG2UBsQES/x3wzX+lwdCu5U+yPZIAYNPCQyTZJkDYL1pyWT+kpW&#10;aQKyyOXtguIPUEsDBBQAAAAIAIdO4kD1cV5JuwEAAHIDAAAOAAAAZHJzL2Uyb0RvYy54bWytU0tu&#10;2zAQ3RfoHQjua8qOEbSC5QCFkaJAkRZIcwCaIi0C/IFDW/IF0ht01U33PZfP0SFtOb9NFtlQo5nR&#10;m/feUIurwRqykxG0dw2dTipKpBO+1W7T0Luf1x8+UgKJu5Yb72RD9xLo1fL9u0UfajnznTetjARB&#10;HNR9aGiXUqgZA9FJy2Hig3RYVD5anvA1blgbeY/o1rBZVV2y3sc2RC8kAGZXxyI9IcbXAHqltJAr&#10;L7ZWunREjdLwhJKg0wHosrBVSor0XSmQiZiGotJUThyC8TqfbLng9Sby0GlxosBfQ+GZJsu1w6Fn&#10;qBVPnGyjfgFltYgevEoT4S07CimOoIpp9cyb244HWbSg1RDOpsPbwYqb3Y9IdNvQ+SUljlvc+OH3&#10;r8Off4e/92Se/ekD1Nh2G7AxDZ/9gLdmzAMms+xBRZufKIhgHd3dn92VQyICk7PqAvdPicDS9NP8&#10;YlrcZw8fhwjpi/SW5KChEZdXPOW7b5CQCLaOLXmW89famLJA454ksDFnWGZ+ZJijNKyHk5y1b/eo&#10;xnx1aGW+FmMQx2A9BtsQ9aZDOkVzgcRVFDKna5N3/fi9DH74VZ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iVb2LXAAAACQEAAA8AAAAAAAAAAQAgAAAAIgAAAGRycy9kb3ducmV2LnhtbFBLAQIU&#10;ABQAAAAIAIdO4kD1cV5JuwEAAHIDAAAOAAAAAAAAAAEAIAAAACYBAABkcnMvZTJvRG9jLnhtbFBL&#10;BQYAAAAABgAGAFkBAABTBQ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t>68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9879965</wp:posOffset>
              </wp:positionV>
              <wp:extent cx="203200" cy="194310"/>
              <wp:effectExtent l="0" t="0" r="0" b="0"/>
              <wp:wrapNone/>
              <wp:docPr id="50" name="文本框 8"/>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8" o:spid="_x0000_s1026" o:spt="202" type="#_x0000_t202" style="position:absolute;left:0pt;margin-top:777.95pt;height:15.3pt;width:16pt;mso-position-horizontal:center;mso-position-horizontal-relative:margin;mso-position-vertical-relative:page;z-index:251664384;mso-width-relative:page;mso-height-relative:page;" filled="f" stroked="f" coordsize="21600,21600" o:gfxdata="UEsDBAoAAAAAAIdO4kAAAAAAAAAAAAAAAAAEAAAAZHJzL1BLAwQUAAAACACHTuJAOJVvYtcAAAAJ&#10;AQAADwAAAGRycy9kb3ducmV2LnhtbE2PzU7DMBCE70i8g7WVuFG7RYnaNE6FEJyQEGk4cHTibRI1&#10;XofY/eHt2Z7ocb8Zzc7k24sbxAmn0HvSsJgrEEiNtz21Gr6qt8cViBANWTN4Qg2/GGBb3N/lJrP+&#10;TCWedrEVHEIhMxq6GMdMytB06EyY+xGJtb2fnIl8Tq20kzlzuBvkUqlUOtMTf+jMiC8dNofd0Wl4&#10;/qbytf/5qD/LfdlX1VrRe3rQ+mG2UBsQES/x3wzX+lwdCu5U+yPZIAYNPCQyTZJkDYL1pyWT+kpW&#10;aQKyyOXtguIPUEsDBBQAAAAIAIdO4kANw0riugEAAHIDAAAOAAAAZHJzL2Uyb0RvYy54bWytU8GO&#10;0zAQvSPxD5bvNGkX0BI1XQlVi5AQIO3yAa5jN5Zsj+Vxm/QH4A84ceHOd/U7GLtNF5bLHrg445nJ&#10;m/feJMub0Vm2VxEN+JbPZzVnykvojN+2/Mv97YtrzjAJ3wkLXrX8oJDfrJ4/Ww6hUQvowXYqMgLx&#10;2Ayh5X1KoakqlL1yAmcQlKeihuhEomvcVl0UA6E7Wy3q+nU1QOxCBKkQKbs+FfkZMT4FELQ2Uq1B&#10;7pzy6YQalRWJJGFvAvJVYau1kumT1qgSsy0npamcNITiTT6r1VI02yhCb+SZgngKhUeanDCehl6g&#10;1iIJtovmHyhnZAQEnWYSXHUSUhwhFfP6kTd3vQiqaCGrMVxMx/8HKz/uP0dmupa/Iku8cLTx4/dv&#10;xx+/jj+/suvszxCwoba7QI1pfAsjfTVTHimZZY86uvwkQYzqBHW4uKvGxCQlF/UV7Z8zSaX5m5dX&#10;8+J+9fByiJjeKXAsBy2PtLziqdh/wEREqHVqybM83BprywKt/ytBjTlTZeYnhjlK42Y8y9lAdyA1&#10;9r0nK4lSmoI4BZsp2IVotj3RKZoLJK2ikDl/NnnXf97L4IdfZ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JVvYtcAAAAJAQAADwAAAAAAAAABACAAAAAiAAAAZHJzL2Rvd25yZXYueG1sUEsBAhQA&#10;FAAAAAgAh07iQA3DSuK6AQAAcgMAAA4AAAAAAAAAAQAgAAAAJgEAAGRycy9lMm9Eb2MueG1sUEsF&#10;BgAAAAAGAAYAWQEAAFIFA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70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ge">
                <wp:posOffset>9879965</wp:posOffset>
              </wp:positionV>
              <wp:extent cx="203200" cy="194310"/>
              <wp:effectExtent l="0" t="0" r="0" b="0"/>
              <wp:wrapNone/>
              <wp:docPr id="51" name="文本框 9"/>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9" o:spid="_x0000_s1026" o:spt="202" type="#_x0000_t202" style="position:absolute;left:0pt;margin-top:777.95pt;height:15.3pt;width:16pt;mso-position-horizontal:center;mso-position-horizontal-relative:margin;mso-position-vertical-relative:page;z-index:251665408;mso-width-relative:page;mso-height-relative:page;" filled="f" stroked="f" coordsize="21600,21600" o:gfxdata="UEsDBAoAAAAAAIdO4kAAAAAAAAAAAAAAAAAEAAAAZHJzL1BLAwQUAAAACACHTuJAOJVvYtcAAAAJ&#10;AQAADwAAAGRycy9kb3ducmV2LnhtbE2PzU7DMBCE70i8g7WVuFG7RYnaNE6FEJyQEGk4cHTibRI1&#10;XofY/eHt2Z7ocb8Zzc7k24sbxAmn0HvSsJgrEEiNtz21Gr6qt8cViBANWTN4Qg2/GGBb3N/lJrP+&#10;TCWedrEVHEIhMxq6GMdMytB06EyY+xGJtb2fnIl8Tq20kzlzuBvkUqlUOtMTf+jMiC8dNofd0Wl4&#10;/qbytf/5qD/LfdlX1VrRe3rQ+mG2UBsQES/x3wzX+lwdCu5U+yPZIAYNPCQyTZJkDYL1pyWT+kpW&#10;aQKyyOXtguIPUEsDBBQAAAAIAIdO4kD4MmNBuwEAAHIDAAAOAAAAZHJzL2Uyb0RvYy54bWytU0tu&#10;2zAQ3RfoHQjua0pOWzSC5QCBkaJA0RZIcgCaIi0C/GFIW/IF2ht01U33PZfP0SFtOWm6ySIbajQz&#10;evPeG2pxNVpDdhKi9q6l9ayiRDrhO+02Lb2/u3nzgZKYuOu48U62dC8jvVq+frUYQiPnvvemk0AQ&#10;xMVmCC3tUwoNY1H00vI480E6LCoPlid8hQ3rgA+Ibg2bV9V7NnjoAnghY8Ts6likJ0R4DqBXSgu5&#10;8mJrpUtHVJCGJ5QUex0iXRa2SkmRvioVZSKmpag0lROHYLzOJ1sueLMBHnotThT4cyg80WS5djj0&#10;DLXiiZMt6P+grBbgo1dpJrxlRyHFEVRRV0+8ue15kEULWh3D2fT4crDiy+4bEN219F1NieMWN374&#10;+ePw68/h93dymf0ZQmyw7TZgYxqv/Yi3ZspHTGbZowKbnyiIYB3d3Z/dlWMiApPz6gL3T4nAUn35&#10;9qIu7rOHjwPE9FF6S3LQUsDlFU/57nNMSARbp5Y8y/kbbUxZoHH/JLAxZ1hmfmSYozSux5Octe/2&#10;qMZ8cmhlvhZTAFOwnoJtAL3pkU7RXCBxFYXM6drkXT9+L4MffpX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iVb2LXAAAACQEAAA8AAAAAAAAAAQAgAAAAIgAAAGRycy9kb3ducmV2LnhtbFBLAQIU&#10;ABQAAAAIAIdO4kD4MmNBuwEAAHIDAAAOAAAAAAAAAAEAIAAAACYBAABkcnMvZTJvRG9jLnhtbFBL&#10;BQYAAAAABgAGAFkBAABTBQ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80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0A9CF"/>
    <w:multiLevelType w:val="singleLevel"/>
    <w:tmpl w:val="8FD0A9CF"/>
    <w:lvl w:ilvl="0" w:tentative="0">
      <w:start w:val="1"/>
      <w:numFmt w:val="decimal"/>
      <w:suff w:val="nothing"/>
      <w:lvlText w:val="（%1）"/>
      <w:lvlJc w:val="left"/>
    </w:lvl>
  </w:abstractNum>
  <w:abstractNum w:abstractNumId="1">
    <w:nsid w:val="930EE254"/>
    <w:multiLevelType w:val="multilevel"/>
    <w:tmpl w:val="930EE254"/>
    <w:lvl w:ilvl="0" w:tentative="0">
      <w:start w:val="1"/>
      <w:numFmt w:val="decimal"/>
      <w:lvlText w:val="（%1）"/>
      <w:lvlJc w:val="left"/>
      <w:pPr>
        <w:ind w:left="63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05" w:hanging="525"/>
      </w:pPr>
      <w:rPr>
        <w:rFonts w:hint="default"/>
        <w:lang w:val="zh-CN" w:eastAsia="zh-CN" w:bidi="zh-CN"/>
      </w:rPr>
    </w:lvl>
    <w:lvl w:ilvl="2" w:tentative="0">
      <w:start w:val="0"/>
      <w:numFmt w:val="bullet"/>
      <w:lvlText w:val="•"/>
      <w:lvlJc w:val="left"/>
      <w:pPr>
        <w:ind w:left="1570" w:hanging="525"/>
      </w:pPr>
      <w:rPr>
        <w:rFonts w:hint="default"/>
        <w:lang w:val="zh-CN" w:eastAsia="zh-CN" w:bidi="zh-CN"/>
      </w:rPr>
    </w:lvl>
    <w:lvl w:ilvl="3" w:tentative="0">
      <w:start w:val="0"/>
      <w:numFmt w:val="bullet"/>
      <w:lvlText w:val="•"/>
      <w:lvlJc w:val="left"/>
      <w:pPr>
        <w:ind w:left="2035" w:hanging="525"/>
      </w:pPr>
      <w:rPr>
        <w:rFonts w:hint="default"/>
        <w:lang w:val="zh-CN" w:eastAsia="zh-CN" w:bidi="zh-CN"/>
      </w:rPr>
    </w:lvl>
    <w:lvl w:ilvl="4" w:tentative="0">
      <w:start w:val="0"/>
      <w:numFmt w:val="bullet"/>
      <w:lvlText w:val="•"/>
      <w:lvlJc w:val="left"/>
      <w:pPr>
        <w:ind w:left="2501" w:hanging="525"/>
      </w:pPr>
      <w:rPr>
        <w:rFonts w:hint="default"/>
        <w:lang w:val="zh-CN" w:eastAsia="zh-CN" w:bidi="zh-CN"/>
      </w:rPr>
    </w:lvl>
    <w:lvl w:ilvl="5" w:tentative="0">
      <w:start w:val="0"/>
      <w:numFmt w:val="bullet"/>
      <w:lvlText w:val="•"/>
      <w:lvlJc w:val="left"/>
      <w:pPr>
        <w:ind w:left="2966" w:hanging="525"/>
      </w:pPr>
      <w:rPr>
        <w:rFonts w:hint="default"/>
        <w:lang w:val="zh-CN" w:eastAsia="zh-CN" w:bidi="zh-CN"/>
      </w:rPr>
    </w:lvl>
    <w:lvl w:ilvl="6" w:tentative="0">
      <w:start w:val="0"/>
      <w:numFmt w:val="bullet"/>
      <w:lvlText w:val="•"/>
      <w:lvlJc w:val="left"/>
      <w:pPr>
        <w:ind w:left="3431" w:hanging="525"/>
      </w:pPr>
      <w:rPr>
        <w:rFonts w:hint="default"/>
        <w:lang w:val="zh-CN" w:eastAsia="zh-CN" w:bidi="zh-CN"/>
      </w:rPr>
    </w:lvl>
    <w:lvl w:ilvl="7" w:tentative="0">
      <w:start w:val="0"/>
      <w:numFmt w:val="bullet"/>
      <w:lvlText w:val="•"/>
      <w:lvlJc w:val="left"/>
      <w:pPr>
        <w:ind w:left="3897" w:hanging="525"/>
      </w:pPr>
      <w:rPr>
        <w:rFonts w:hint="default"/>
        <w:lang w:val="zh-CN" w:eastAsia="zh-CN" w:bidi="zh-CN"/>
      </w:rPr>
    </w:lvl>
    <w:lvl w:ilvl="8" w:tentative="0">
      <w:start w:val="0"/>
      <w:numFmt w:val="bullet"/>
      <w:lvlText w:val="•"/>
      <w:lvlJc w:val="left"/>
      <w:pPr>
        <w:ind w:left="4362" w:hanging="525"/>
      </w:pPr>
      <w:rPr>
        <w:rFonts w:hint="default"/>
        <w:lang w:val="zh-CN" w:eastAsia="zh-CN" w:bidi="zh-CN"/>
      </w:rPr>
    </w:lvl>
  </w:abstractNum>
  <w:abstractNum w:abstractNumId="2">
    <w:nsid w:val="941D12A9"/>
    <w:multiLevelType w:val="multilevel"/>
    <w:tmpl w:val="941D12A9"/>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3">
    <w:nsid w:val="B5601969"/>
    <w:multiLevelType w:val="multilevel"/>
    <w:tmpl w:val="B5601969"/>
    <w:lvl w:ilvl="0" w:tentative="0">
      <w:start w:val="1"/>
      <w:numFmt w:val="decimal"/>
      <w:lvlText w:val="%1."/>
      <w:lvlJc w:val="left"/>
      <w:pPr>
        <w:ind w:left="1304" w:hanging="214"/>
        <w:jc w:val="left"/>
      </w:pPr>
      <w:rPr>
        <w:rFonts w:hint="default" w:ascii="宋体" w:hAnsi="宋体" w:eastAsia="宋体" w:cs="宋体"/>
        <w:b/>
        <w:bCs/>
        <w:spacing w:val="-2"/>
        <w:w w:val="98"/>
        <w:sz w:val="19"/>
        <w:szCs w:val="19"/>
        <w:lang w:val="zh-CN" w:eastAsia="zh-CN" w:bidi="zh-CN"/>
      </w:rPr>
    </w:lvl>
    <w:lvl w:ilvl="1" w:tentative="0">
      <w:start w:val="1"/>
      <w:numFmt w:val="decimal"/>
      <w:lvlText w:val="%1.%2"/>
      <w:lvlJc w:val="left"/>
      <w:pPr>
        <w:ind w:left="1511" w:hanging="420"/>
        <w:jc w:val="left"/>
      </w:pPr>
      <w:rPr>
        <w:rFonts w:hint="default" w:ascii="宋体" w:hAnsi="宋体" w:eastAsia="宋体" w:cs="宋体"/>
        <w:spacing w:val="0"/>
        <w:w w:val="99"/>
        <w:sz w:val="21"/>
        <w:szCs w:val="21"/>
        <w:lang w:val="zh-CN" w:eastAsia="zh-CN" w:bidi="zh-CN"/>
      </w:rPr>
    </w:lvl>
    <w:lvl w:ilvl="2" w:tentative="0">
      <w:start w:val="1"/>
      <w:numFmt w:val="decimal"/>
      <w:lvlText w:val="%1.%2.%3"/>
      <w:lvlJc w:val="left"/>
      <w:pPr>
        <w:ind w:left="1931" w:hanging="840"/>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3003" w:hanging="840"/>
      </w:pPr>
      <w:rPr>
        <w:rFonts w:hint="default"/>
        <w:lang w:val="zh-CN" w:eastAsia="zh-CN" w:bidi="zh-CN"/>
      </w:rPr>
    </w:lvl>
    <w:lvl w:ilvl="4" w:tentative="0">
      <w:start w:val="0"/>
      <w:numFmt w:val="bullet"/>
      <w:lvlText w:val="•"/>
      <w:lvlJc w:val="left"/>
      <w:pPr>
        <w:ind w:left="4066" w:hanging="840"/>
      </w:pPr>
      <w:rPr>
        <w:rFonts w:hint="default"/>
        <w:lang w:val="zh-CN" w:eastAsia="zh-CN" w:bidi="zh-CN"/>
      </w:rPr>
    </w:lvl>
    <w:lvl w:ilvl="5" w:tentative="0">
      <w:start w:val="0"/>
      <w:numFmt w:val="bullet"/>
      <w:lvlText w:val="•"/>
      <w:lvlJc w:val="left"/>
      <w:pPr>
        <w:ind w:left="5129" w:hanging="840"/>
      </w:pPr>
      <w:rPr>
        <w:rFonts w:hint="default"/>
        <w:lang w:val="zh-CN" w:eastAsia="zh-CN" w:bidi="zh-CN"/>
      </w:rPr>
    </w:lvl>
    <w:lvl w:ilvl="6" w:tentative="0">
      <w:start w:val="0"/>
      <w:numFmt w:val="bullet"/>
      <w:lvlText w:val="•"/>
      <w:lvlJc w:val="left"/>
      <w:pPr>
        <w:ind w:left="6193" w:hanging="840"/>
      </w:pPr>
      <w:rPr>
        <w:rFonts w:hint="default"/>
        <w:lang w:val="zh-CN" w:eastAsia="zh-CN" w:bidi="zh-CN"/>
      </w:rPr>
    </w:lvl>
    <w:lvl w:ilvl="7" w:tentative="0">
      <w:start w:val="0"/>
      <w:numFmt w:val="bullet"/>
      <w:lvlText w:val="•"/>
      <w:lvlJc w:val="left"/>
      <w:pPr>
        <w:ind w:left="7256" w:hanging="840"/>
      </w:pPr>
      <w:rPr>
        <w:rFonts w:hint="default"/>
        <w:lang w:val="zh-CN" w:eastAsia="zh-CN" w:bidi="zh-CN"/>
      </w:rPr>
    </w:lvl>
    <w:lvl w:ilvl="8" w:tentative="0">
      <w:start w:val="0"/>
      <w:numFmt w:val="bullet"/>
      <w:lvlText w:val="•"/>
      <w:lvlJc w:val="left"/>
      <w:pPr>
        <w:ind w:left="8319" w:hanging="840"/>
      </w:pPr>
      <w:rPr>
        <w:rFonts w:hint="default"/>
        <w:lang w:val="zh-CN" w:eastAsia="zh-CN" w:bidi="zh-CN"/>
      </w:rPr>
    </w:lvl>
  </w:abstractNum>
  <w:abstractNum w:abstractNumId="4">
    <w:nsid w:val="B5CF74F5"/>
    <w:multiLevelType w:val="multilevel"/>
    <w:tmpl w:val="B5CF74F5"/>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5">
    <w:nsid w:val="BDC2395C"/>
    <w:multiLevelType w:val="singleLevel"/>
    <w:tmpl w:val="BDC2395C"/>
    <w:lvl w:ilvl="0" w:tentative="0">
      <w:start w:val="3"/>
      <w:numFmt w:val="decimal"/>
      <w:lvlText w:val="(%1)"/>
      <w:lvlJc w:val="left"/>
      <w:pPr>
        <w:tabs>
          <w:tab w:val="left" w:pos="312"/>
        </w:tabs>
      </w:pPr>
    </w:lvl>
  </w:abstractNum>
  <w:abstractNum w:abstractNumId="6">
    <w:nsid w:val="C0283A65"/>
    <w:multiLevelType w:val="multilevel"/>
    <w:tmpl w:val="C0283A65"/>
    <w:lvl w:ilvl="0" w:tentative="0">
      <w:start w:val="1"/>
      <w:numFmt w:val="decimal"/>
      <w:lvlText w:val="(%1)"/>
      <w:lvlJc w:val="left"/>
      <w:pPr>
        <w:ind w:left="106" w:hanging="32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769" w:hanging="322"/>
      </w:pPr>
      <w:rPr>
        <w:rFonts w:hint="default"/>
        <w:lang w:val="zh-CN" w:eastAsia="zh-CN" w:bidi="zh-CN"/>
      </w:rPr>
    </w:lvl>
    <w:lvl w:ilvl="2" w:tentative="0">
      <w:start w:val="0"/>
      <w:numFmt w:val="bullet"/>
      <w:lvlText w:val="•"/>
      <w:lvlJc w:val="left"/>
      <w:pPr>
        <w:ind w:left="1438" w:hanging="322"/>
      </w:pPr>
      <w:rPr>
        <w:rFonts w:hint="default"/>
        <w:lang w:val="zh-CN" w:eastAsia="zh-CN" w:bidi="zh-CN"/>
      </w:rPr>
    </w:lvl>
    <w:lvl w:ilvl="3" w:tentative="0">
      <w:start w:val="0"/>
      <w:numFmt w:val="bullet"/>
      <w:lvlText w:val="•"/>
      <w:lvlJc w:val="left"/>
      <w:pPr>
        <w:ind w:left="2108" w:hanging="322"/>
      </w:pPr>
      <w:rPr>
        <w:rFonts w:hint="default"/>
        <w:lang w:val="zh-CN" w:eastAsia="zh-CN" w:bidi="zh-CN"/>
      </w:rPr>
    </w:lvl>
    <w:lvl w:ilvl="4" w:tentative="0">
      <w:start w:val="0"/>
      <w:numFmt w:val="bullet"/>
      <w:lvlText w:val="•"/>
      <w:lvlJc w:val="left"/>
      <w:pPr>
        <w:ind w:left="2777" w:hanging="322"/>
      </w:pPr>
      <w:rPr>
        <w:rFonts w:hint="default"/>
        <w:lang w:val="zh-CN" w:eastAsia="zh-CN" w:bidi="zh-CN"/>
      </w:rPr>
    </w:lvl>
    <w:lvl w:ilvl="5" w:tentative="0">
      <w:start w:val="0"/>
      <w:numFmt w:val="bullet"/>
      <w:lvlText w:val="•"/>
      <w:lvlJc w:val="left"/>
      <w:pPr>
        <w:ind w:left="3447" w:hanging="322"/>
      </w:pPr>
      <w:rPr>
        <w:rFonts w:hint="default"/>
        <w:lang w:val="zh-CN" w:eastAsia="zh-CN" w:bidi="zh-CN"/>
      </w:rPr>
    </w:lvl>
    <w:lvl w:ilvl="6" w:tentative="0">
      <w:start w:val="0"/>
      <w:numFmt w:val="bullet"/>
      <w:lvlText w:val="•"/>
      <w:lvlJc w:val="left"/>
      <w:pPr>
        <w:ind w:left="4116" w:hanging="322"/>
      </w:pPr>
      <w:rPr>
        <w:rFonts w:hint="default"/>
        <w:lang w:val="zh-CN" w:eastAsia="zh-CN" w:bidi="zh-CN"/>
      </w:rPr>
    </w:lvl>
    <w:lvl w:ilvl="7" w:tentative="0">
      <w:start w:val="0"/>
      <w:numFmt w:val="bullet"/>
      <w:lvlText w:val="•"/>
      <w:lvlJc w:val="left"/>
      <w:pPr>
        <w:ind w:left="4785" w:hanging="322"/>
      </w:pPr>
      <w:rPr>
        <w:rFonts w:hint="default"/>
        <w:lang w:val="zh-CN" w:eastAsia="zh-CN" w:bidi="zh-CN"/>
      </w:rPr>
    </w:lvl>
    <w:lvl w:ilvl="8" w:tentative="0">
      <w:start w:val="0"/>
      <w:numFmt w:val="bullet"/>
      <w:lvlText w:val="•"/>
      <w:lvlJc w:val="left"/>
      <w:pPr>
        <w:ind w:left="5455" w:hanging="322"/>
      </w:pPr>
      <w:rPr>
        <w:rFonts w:hint="default"/>
        <w:lang w:val="zh-CN" w:eastAsia="zh-CN" w:bidi="zh-CN"/>
      </w:rPr>
    </w:lvl>
  </w:abstractNum>
  <w:abstractNum w:abstractNumId="7">
    <w:nsid w:val="CB94649F"/>
    <w:multiLevelType w:val="multilevel"/>
    <w:tmpl w:val="CB94649F"/>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8">
    <w:nsid w:val="D5F12F34"/>
    <w:multiLevelType w:val="multilevel"/>
    <w:tmpl w:val="D5F12F34"/>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9">
    <w:nsid w:val="F30FC083"/>
    <w:multiLevelType w:val="multilevel"/>
    <w:tmpl w:val="F30FC083"/>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10">
    <w:nsid w:val="FCC85EE2"/>
    <w:multiLevelType w:val="multilevel"/>
    <w:tmpl w:val="FCC85EE2"/>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11">
    <w:nsid w:val="00000007"/>
    <w:multiLevelType w:val="singleLevel"/>
    <w:tmpl w:val="00000007"/>
    <w:lvl w:ilvl="0" w:tentative="0">
      <w:start w:val="7"/>
      <w:numFmt w:val="chineseCounting"/>
      <w:suff w:val="nothing"/>
      <w:lvlText w:val="%1、"/>
      <w:lvlJc w:val="left"/>
    </w:lvl>
  </w:abstractNum>
  <w:abstractNum w:abstractNumId="12">
    <w:nsid w:val="00000015"/>
    <w:multiLevelType w:val="singleLevel"/>
    <w:tmpl w:val="00000015"/>
    <w:lvl w:ilvl="0" w:tentative="0">
      <w:start w:val="1"/>
      <w:numFmt w:val="decimal"/>
      <w:suff w:val="space"/>
      <w:lvlText w:val="%1、"/>
      <w:lvlJc w:val="left"/>
    </w:lvl>
  </w:abstractNum>
  <w:abstractNum w:abstractNumId="13">
    <w:nsid w:val="0000001C"/>
    <w:multiLevelType w:val="singleLevel"/>
    <w:tmpl w:val="0000001C"/>
    <w:lvl w:ilvl="0" w:tentative="0">
      <w:start w:val="1"/>
      <w:numFmt w:val="decimal"/>
      <w:suff w:val="nothing"/>
      <w:lvlText w:val="%1、"/>
      <w:lvlJc w:val="left"/>
    </w:lvl>
  </w:abstractNum>
  <w:abstractNum w:abstractNumId="14">
    <w:nsid w:val="1483906D"/>
    <w:multiLevelType w:val="multilevel"/>
    <w:tmpl w:val="1483906D"/>
    <w:lvl w:ilvl="0" w:tentative="0">
      <w:start w:val="5"/>
      <w:numFmt w:val="decimal"/>
      <w:lvlText w:val="%1."/>
      <w:lvlJc w:val="left"/>
      <w:pPr>
        <w:ind w:left="106" w:hanging="216"/>
        <w:jc w:val="left"/>
      </w:pPr>
      <w:rPr>
        <w:rFonts w:hint="default" w:ascii="宋体" w:hAnsi="宋体" w:eastAsia="宋体" w:cs="宋体"/>
        <w:b/>
        <w:bCs/>
        <w:spacing w:val="3"/>
        <w:w w:val="98"/>
        <w:sz w:val="19"/>
        <w:szCs w:val="19"/>
        <w:lang w:val="zh-CN" w:eastAsia="zh-CN" w:bidi="zh-CN"/>
      </w:rPr>
    </w:lvl>
    <w:lvl w:ilvl="1" w:tentative="0">
      <w:start w:val="1"/>
      <w:numFmt w:val="decimal"/>
      <w:lvlText w:val="%1.%2"/>
      <w:lvlJc w:val="left"/>
      <w:pPr>
        <w:ind w:left="473" w:hanging="368"/>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181" w:hanging="368"/>
      </w:pPr>
      <w:rPr>
        <w:rFonts w:hint="default"/>
        <w:lang w:val="zh-CN" w:eastAsia="zh-CN" w:bidi="zh-CN"/>
      </w:rPr>
    </w:lvl>
    <w:lvl w:ilvl="3" w:tentative="0">
      <w:start w:val="0"/>
      <w:numFmt w:val="bullet"/>
      <w:lvlText w:val="•"/>
      <w:lvlJc w:val="left"/>
      <w:pPr>
        <w:ind w:left="1883" w:hanging="368"/>
      </w:pPr>
      <w:rPr>
        <w:rFonts w:hint="default"/>
        <w:lang w:val="zh-CN" w:eastAsia="zh-CN" w:bidi="zh-CN"/>
      </w:rPr>
    </w:lvl>
    <w:lvl w:ilvl="4" w:tentative="0">
      <w:start w:val="0"/>
      <w:numFmt w:val="bullet"/>
      <w:lvlText w:val="•"/>
      <w:lvlJc w:val="left"/>
      <w:pPr>
        <w:ind w:left="2584" w:hanging="368"/>
      </w:pPr>
      <w:rPr>
        <w:rFonts w:hint="default"/>
        <w:lang w:val="zh-CN" w:eastAsia="zh-CN" w:bidi="zh-CN"/>
      </w:rPr>
    </w:lvl>
    <w:lvl w:ilvl="5" w:tentative="0">
      <w:start w:val="0"/>
      <w:numFmt w:val="bullet"/>
      <w:lvlText w:val="•"/>
      <w:lvlJc w:val="left"/>
      <w:pPr>
        <w:ind w:left="3286" w:hanging="368"/>
      </w:pPr>
      <w:rPr>
        <w:rFonts w:hint="default"/>
        <w:lang w:val="zh-CN" w:eastAsia="zh-CN" w:bidi="zh-CN"/>
      </w:rPr>
    </w:lvl>
    <w:lvl w:ilvl="6" w:tentative="0">
      <w:start w:val="0"/>
      <w:numFmt w:val="bullet"/>
      <w:lvlText w:val="•"/>
      <w:lvlJc w:val="left"/>
      <w:pPr>
        <w:ind w:left="3987" w:hanging="368"/>
      </w:pPr>
      <w:rPr>
        <w:rFonts w:hint="default"/>
        <w:lang w:val="zh-CN" w:eastAsia="zh-CN" w:bidi="zh-CN"/>
      </w:rPr>
    </w:lvl>
    <w:lvl w:ilvl="7" w:tentative="0">
      <w:start w:val="0"/>
      <w:numFmt w:val="bullet"/>
      <w:lvlText w:val="•"/>
      <w:lvlJc w:val="left"/>
      <w:pPr>
        <w:ind w:left="4689" w:hanging="368"/>
      </w:pPr>
      <w:rPr>
        <w:rFonts w:hint="default"/>
        <w:lang w:val="zh-CN" w:eastAsia="zh-CN" w:bidi="zh-CN"/>
      </w:rPr>
    </w:lvl>
    <w:lvl w:ilvl="8" w:tentative="0">
      <w:start w:val="0"/>
      <w:numFmt w:val="bullet"/>
      <w:lvlText w:val="•"/>
      <w:lvlJc w:val="left"/>
      <w:pPr>
        <w:ind w:left="5390" w:hanging="368"/>
      </w:pPr>
      <w:rPr>
        <w:rFonts w:hint="default"/>
        <w:lang w:val="zh-CN" w:eastAsia="zh-CN" w:bidi="zh-CN"/>
      </w:rPr>
    </w:lvl>
  </w:abstractNum>
  <w:abstractNum w:abstractNumId="15">
    <w:nsid w:val="274D3D9B"/>
    <w:multiLevelType w:val="multilevel"/>
    <w:tmpl w:val="274D3D9B"/>
    <w:lvl w:ilvl="0" w:tentative="0">
      <w:start w:val="1"/>
      <w:numFmt w:val="decimal"/>
      <w:lvlText w:val="%1."/>
      <w:lvlJc w:val="left"/>
      <w:pPr>
        <w:ind w:left="106"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769" w:hanging="212"/>
      </w:pPr>
      <w:rPr>
        <w:rFonts w:hint="default"/>
        <w:lang w:val="zh-CN" w:eastAsia="zh-CN" w:bidi="zh-CN"/>
      </w:rPr>
    </w:lvl>
    <w:lvl w:ilvl="2" w:tentative="0">
      <w:start w:val="0"/>
      <w:numFmt w:val="bullet"/>
      <w:lvlText w:val="•"/>
      <w:lvlJc w:val="left"/>
      <w:pPr>
        <w:ind w:left="1438" w:hanging="212"/>
      </w:pPr>
      <w:rPr>
        <w:rFonts w:hint="default"/>
        <w:lang w:val="zh-CN" w:eastAsia="zh-CN" w:bidi="zh-CN"/>
      </w:rPr>
    </w:lvl>
    <w:lvl w:ilvl="3" w:tentative="0">
      <w:start w:val="0"/>
      <w:numFmt w:val="bullet"/>
      <w:lvlText w:val="•"/>
      <w:lvlJc w:val="left"/>
      <w:pPr>
        <w:ind w:left="2108" w:hanging="212"/>
      </w:pPr>
      <w:rPr>
        <w:rFonts w:hint="default"/>
        <w:lang w:val="zh-CN" w:eastAsia="zh-CN" w:bidi="zh-CN"/>
      </w:rPr>
    </w:lvl>
    <w:lvl w:ilvl="4" w:tentative="0">
      <w:start w:val="0"/>
      <w:numFmt w:val="bullet"/>
      <w:lvlText w:val="•"/>
      <w:lvlJc w:val="left"/>
      <w:pPr>
        <w:ind w:left="2777" w:hanging="212"/>
      </w:pPr>
      <w:rPr>
        <w:rFonts w:hint="default"/>
        <w:lang w:val="zh-CN" w:eastAsia="zh-CN" w:bidi="zh-CN"/>
      </w:rPr>
    </w:lvl>
    <w:lvl w:ilvl="5" w:tentative="0">
      <w:start w:val="0"/>
      <w:numFmt w:val="bullet"/>
      <w:lvlText w:val="•"/>
      <w:lvlJc w:val="left"/>
      <w:pPr>
        <w:ind w:left="3447" w:hanging="212"/>
      </w:pPr>
      <w:rPr>
        <w:rFonts w:hint="default"/>
        <w:lang w:val="zh-CN" w:eastAsia="zh-CN" w:bidi="zh-CN"/>
      </w:rPr>
    </w:lvl>
    <w:lvl w:ilvl="6" w:tentative="0">
      <w:start w:val="0"/>
      <w:numFmt w:val="bullet"/>
      <w:lvlText w:val="•"/>
      <w:lvlJc w:val="left"/>
      <w:pPr>
        <w:ind w:left="4116" w:hanging="212"/>
      </w:pPr>
      <w:rPr>
        <w:rFonts w:hint="default"/>
        <w:lang w:val="zh-CN" w:eastAsia="zh-CN" w:bidi="zh-CN"/>
      </w:rPr>
    </w:lvl>
    <w:lvl w:ilvl="7" w:tentative="0">
      <w:start w:val="0"/>
      <w:numFmt w:val="bullet"/>
      <w:lvlText w:val="•"/>
      <w:lvlJc w:val="left"/>
      <w:pPr>
        <w:ind w:left="4785" w:hanging="212"/>
      </w:pPr>
      <w:rPr>
        <w:rFonts w:hint="default"/>
        <w:lang w:val="zh-CN" w:eastAsia="zh-CN" w:bidi="zh-CN"/>
      </w:rPr>
    </w:lvl>
    <w:lvl w:ilvl="8" w:tentative="0">
      <w:start w:val="0"/>
      <w:numFmt w:val="bullet"/>
      <w:lvlText w:val="•"/>
      <w:lvlJc w:val="left"/>
      <w:pPr>
        <w:ind w:left="5455" w:hanging="212"/>
      </w:pPr>
      <w:rPr>
        <w:rFonts w:hint="default"/>
        <w:lang w:val="zh-CN" w:eastAsia="zh-CN" w:bidi="zh-CN"/>
      </w:rPr>
    </w:lvl>
  </w:abstractNum>
  <w:abstractNum w:abstractNumId="16">
    <w:nsid w:val="329A4FD1"/>
    <w:multiLevelType w:val="multilevel"/>
    <w:tmpl w:val="329A4FD1"/>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17">
    <w:nsid w:val="35ECE9CB"/>
    <w:multiLevelType w:val="multilevel"/>
    <w:tmpl w:val="35ECE9CB"/>
    <w:lvl w:ilvl="0" w:tentative="0">
      <w:start w:val="1"/>
      <w:numFmt w:val="decimal"/>
      <w:lvlText w:val="%1."/>
      <w:lvlJc w:val="left"/>
      <w:pPr>
        <w:ind w:left="322" w:hanging="21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67" w:hanging="216"/>
      </w:pPr>
      <w:rPr>
        <w:rFonts w:hint="default"/>
        <w:lang w:val="zh-CN" w:eastAsia="zh-CN" w:bidi="zh-CN"/>
      </w:rPr>
    </w:lvl>
    <w:lvl w:ilvl="2" w:tentative="0">
      <w:start w:val="0"/>
      <w:numFmt w:val="bullet"/>
      <w:lvlText w:val="•"/>
      <w:lvlJc w:val="left"/>
      <w:pPr>
        <w:ind w:left="1614" w:hanging="216"/>
      </w:pPr>
      <w:rPr>
        <w:rFonts w:hint="default"/>
        <w:lang w:val="zh-CN" w:eastAsia="zh-CN" w:bidi="zh-CN"/>
      </w:rPr>
    </w:lvl>
    <w:lvl w:ilvl="3" w:tentative="0">
      <w:start w:val="0"/>
      <w:numFmt w:val="bullet"/>
      <w:lvlText w:val="•"/>
      <w:lvlJc w:val="left"/>
      <w:pPr>
        <w:ind w:left="2262" w:hanging="216"/>
      </w:pPr>
      <w:rPr>
        <w:rFonts w:hint="default"/>
        <w:lang w:val="zh-CN" w:eastAsia="zh-CN" w:bidi="zh-CN"/>
      </w:rPr>
    </w:lvl>
    <w:lvl w:ilvl="4" w:tentative="0">
      <w:start w:val="0"/>
      <w:numFmt w:val="bullet"/>
      <w:lvlText w:val="•"/>
      <w:lvlJc w:val="left"/>
      <w:pPr>
        <w:ind w:left="2909" w:hanging="216"/>
      </w:pPr>
      <w:rPr>
        <w:rFonts w:hint="default"/>
        <w:lang w:val="zh-CN" w:eastAsia="zh-CN" w:bidi="zh-CN"/>
      </w:rPr>
    </w:lvl>
    <w:lvl w:ilvl="5" w:tentative="0">
      <w:start w:val="0"/>
      <w:numFmt w:val="bullet"/>
      <w:lvlText w:val="•"/>
      <w:lvlJc w:val="left"/>
      <w:pPr>
        <w:ind w:left="3557" w:hanging="216"/>
      </w:pPr>
      <w:rPr>
        <w:rFonts w:hint="default"/>
        <w:lang w:val="zh-CN" w:eastAsia="zh-CN" w:bidi="zh-CN"/>
      </w:rPr>
    </w:lvl>
    <w:lvl w:ilvl="6" w:tentative="0">
      <w:start w:val="0"/>
      <w:numFmt w:val="bullet"/>
      <w:lvlText w:val="•"/>
      <w:lvlJc w:val="left"/>
      <w:pPr>
        <w:ind w:left="4204" w:hanging="216"/>
      </w:pPr>
      <w:rPr>
        <w:rFonts w:hint="default"/>
        <w:lang w:val="zh-CN" w:eastAsia="zh-CN" w:bidi="zh-CN"/>
      </w:rPr>
    </w:lvl>
    <w:lvl w:ilvl="7" w:tentative="0">
      <w:start w:val="0"/>
      <w:numFmt w:val="bullet"/>
      <w:lvlText w:val="•"/>
      <w:lvlJc w:val="left"/>
      <w:pPr>
        <w:ind w:left="4851" w:hanging="216"/>
      </w:pPr>
      <w:rPr>
        <w:rFonts w:hint="default"/>
        <w:lang w:val="zh-CN" w:eastAsia="zh-CN" w:bidi="zh-CN"/>
      </w:rPr>
    </w:lvl>
    <w:lvl w:ilvl="8" w:tentative="0">
      <w:start w:val="0"/>
      <w:numFmt w:val="bullet"/>
      <w:lvlText w:val="•"/>
      <w:lvlJc w:val="left"/>
      <w:pPr>
        <w:ind w:left="5499" w:hanging="216"/>
      </w:pPr>
      <w:rPr>
        <w:rFonts w:hint="default"/>
        <w:lang w:val="zh-CN" w:eastAsia="zh-CN" w:bidi="zh-CN"/>
      </w:rPr>
    </w:lvl>
  </w:abstractNum>
  <w:abstractNum w:abstractNumId="18">
    <w:nsid w:val="3D950AF9"/>
    <w:multiLevelType w:val="multilevel"/>
    <w:tmpl w:val="3D950AF9"/>
    <w:lvl w:ilvl="0" w:tentative="0">
      <w:start w:val="1"/>
      <w:numFmt w:val="decimal"/>
      <w:lvlText w:val="%1."/>
      <w:lvlJc w:val="left"/>
      <w:pPr>
        <w:ind w:left="1512"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1511"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520" w:hanging="420"/>
      </w:pPr>
      <w:rPr>
        <w:rFonts w:hint="default"/>
        <w:lang w:val="zh-CN" w:eastAsia="zh-CN" w:bidi="zh-CN"/>
      </w:rPr>
    </w:lvl>
    <w:lvl w:ilvl="3" w:tentative="0">
      <w:start w:val="0"/>
      <w:numFmt w:val="bullet"/>
      <w:lvlText w:val="•"/>
      <w:lvlJc w:val="left"/>
      <w:pPr>
        <w:ind w:left="2635" w:hanging="420"/>
      </w:pPr>
      <w:rPr>
        <w:rFonts w:hint="default"/>
        <w:lang w:val="zh-CN" w:eastAsia="zh-CN" w:bidi="zh-CN"/>
      </w:rPr>
    </w:lvl>
    <w:lvl w:ilvl="4" w:tentative="0">
      <w:start w:val="0"/>
      <w:numFmt w:val="bullet"/>
      <w:lvlText w:val="•"/>
      <w:lvlJc w:val="left"/>
      <w:pPr>
        <w:ind w:left="3751" w:hanging="420"/>
      </w:pPr>
      <w:rPr>
        <w:rFonts w:hint="default"/>
        <w:lang w:val="zh-CN" w:eastAsia="zh-CN" w:bidi="zh-CN"/>
      </w:rPr>
    </w:lvl>
    <w:lvl w:ilvl="5" w:tentative="0">
      <w:start w:val="0"/>
      <w:numFmt w:val="bullet"/>
      <w:lvlText w:val="•"/>
      <w:lvlJc w:val="left"/>
      <w:pPr>
        <w:ind w:left="4867" w:hanging="420"/>
      </w:pPr>
      <w:rPr>
        <w:rFonts w:hint="default"/>
        <w:lang w:val="zh-CN" w:eastAsia="zh-CN" w:bidi="zh-CN"/>
      </w:rPr>
    </w:lvl>
    <w:lvl w:ilvl="6" w:tentative="0">
      <w:start w:val="0"/>
      <w:numFmt w:val="bullet"/>
      <w:lvlText w:val="•"/>
      <w:lvlJc w:val="left"/>
      <w:pPr>
        <w:ind w:left="5983" w:hanging="420"/>
      </w:pPr>
      <w:rPr>
        <w:rFonts w:hint="default"/>
        <w:lang w:val="zh-CN" w:eastAsia="zh-CN" w:bidi="zh-CN"/>
      </w:rPr>
    </w:lvl>
    <w:lvl w:ilvl="7" w:tentative="0">
      <w:start w:val="0"/>
      <w:numFmt w:val="bullet"/>
      <w:lvlText w:val="•"/>
      <w:lvlJc w:val="left"/>
      <w:pPr>
        <w:ind w:left="7098" w:hanging="420"/>
      </w:pPr>
      <w:rPr>
        <w:rFonts w:hint="default"/>
        <w:lang w:val="zh-CN" w:eastAsia="zh-CN" w:bidi="zh-CN"/>
      </w:rPr>
    </w:lvl>
    <w:lvl w:ilvl="8" w:tentative="0">
      <w:start w:val="0"/>
      <w:numFmt w:val="bullet"/>
      <w:lvlText w:val="•"/>
      <w:lvlJc w:val="left"/>
      <w:pPr>
        <w:ind w:left="8214" w:hanging="420"/>
      </w:pPr>
      <w:rPr>
        <w:rFonts w:hint="default"/>
        <w:lang w:val="zh-CN" w:eastAsia="zh-CN" w:bidi="zh-CN"/>
      </w:rPr>
    </w:lvl>
  </w:abstractNum>
  <w:abstractNum w:abstractNumId="19">
    <w:nsid w:val="408860E8"/>
    <w:multiLevelType w:val="multilevel"/>
    <w:tmpl w:val="408860E8"/>
    <w:lvl w:ilvl="0" w:tentative="0">
      <w:start w:val="1"/>
      <w:numFmt w:val="decimal"/>
      <w:lvlText w:val="%1."/>
      <w:lvlJc w:val="left"/>
      <w:pPr>
        <w:ind w:left="106" w:hanging="324"/>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769" w:hanging="324"/>
      </w:pPr>
      <w:rPr>
        <w:rFonts w:hint="default"/>
        <w:lang w:val="zh-CN" w:eastAsia="zh-CN" w:bidi="zh-CN"/>
      </w:rPr>
    </w:lvl>
    <w:lvl w:ilvl="2" w:tentative="0">
      <w:start w:val="0"/>
      <w:numFmt w:val="bullet"/>
      <w:lvlText w:val="•"/>
      <w:lvlJc w:val="left"/>
      <w:pPr>
        <w:ind w:left="1438" w:hanging="324"/>
      </w:pPr>
      <w:rPr>
        <w:rFonts w:hint="default"/>
        <w:lang w:val="zh-CN" w:eastAsia="zh-CN" w:bidi="zh-CN"/>
      </w:rPr>
    </w:lvl>
    <w:lvl w:ilvl="3" w:tentative="0">
      <w:start w:val="0"/>
      <w:numFmt w:val="bullet"/>
      <w:lvlText w:val="•"/>
      <w:lvlJc w:val="left"/>
      <w:pPr>
        <w:ind w:left="2108" w:hanging="324"/>
      </w:pPr>
      <w:rPr>
        <w:rFonts w:hint="default"/>
        <w:lang w:val="zh-CN" w:eastAsia="zh-CN" w:bidi="zh-CN"/>
      </w:rPr>
    </w:lvl>
    <w:lvl w:ilvl="4" w:tentative="0">
      <w:start w:val="0"/>
      <w:numFmt w:val="bullet"/>
      <w:lvlText w:val="•"/>
      <w:lvlJc w:val="left"/>
      <w:pPr>
        <w:ind w:left="2777" w:hanging="324"/>
      </w:pPr>
      <w:rPr>
        <w:rFonts w:hint="default"/>
        <w:lang w:val="zh-CN" w:eastAsia="zh-CN" w:bidi="zh-CN"/>
      </w:rPr>
    </w:lvl>
    <w:lvl w:ilvl="5" w:tentative="0">
      <w:start w:val="0"/>
      <w:numFmt w:val="bullet"/>
      <w:lvlText w:val="•"/>
      <w:lvlJc w:val="left"/>
      <w:pPr>
        <w:ind w:left="3447" w:hanging="324"/>
      </w:pPr>
      <w:rPr>
        <w:rFonts w:hint="default"/>
        <w:lang w:val="zh-CN" w:eastAsia="zh-CN" w:bidi="zh-CN"/>
      </w:rPr>
    </w:lvl>
    <w:lvl w:ilvl="6" w:tentative="0">
      <w:start w:val="0"/>
      <w:numFmt w:val="bullet"/>
      <w:lvlText w:val="•"/>
      <w:lvlJc w:val="left"/>
      <w:pPr>
        <w:ind w:left="4116" w:hanging="324"/>
      </w:pPr>
      <w:rPr>
        <w:rFonts w:hint="default"/>
        <w:lang w:val="zh-CN" w:eastAsia="zh-CN" w:bidi="zh-CN"/>
      </w:rPr>
    </w:lvl>
    <w:lvl w:ilvl="7" w:tentative="0">
      <w:start w:val="0"/>
      <w:numFmt w:val="bullet"/>
      <w:lvlText w:val="•"/>
      <w:lvlJc w:val="left"/>
      <w:pPr>
        <w:ind w:left="4785" w:hanging="324"/>
      </w:pPr>
      <w:rPr>
        <w:rFonts w:hint="default"/>
        <w:lang w:val="zh-CN" w:eastAsia="zh-CN" w:bidi="zh-CN"/>
      </w:rPr>
    </w:lvl>
    <w:lvl w:ilvl="8" w:tentative="0">
      <w:start w:val="0"/>
      <w:numFmt w:val="bullet"/>
      <w:lvlText w:val="•"/>
      <w:lvlJc w:val="left"/>
      <w:pPr>
        <w:ind w:left="5455" w:hanging="324"/>
      </w:pPr>
      <w:rPr>
        <w:rFonts w:hint="default"/>
        <w:lang w:val="zh-CN" w:eastAsia="zh-CN" w:bidi="zh-CN"/>
      </w:rPr>
    </w:lvl>
  </w:abstractNum>
  <w:abstractNum w:abstractNumId="20">
    <w:nsid w:val="429CD0B5"/>
    <w:multiLevelType w:val="multilevel"/>
    <w:tmpl w:val="429CD0B5"/>
    <w:lvl w:ilvl="0" w:tentative="0">
      <w:start w:val="3"/>
      <w:numFmt w:val="decimal"/>
      <w:lvlText w:val="%1"/>
      <w:lvlJc w:val="left"/>
      <w:pPr>
        <w:ind w:left="1511" w:hanging="420"/>
        <w:jc w:val="left"/>
      </w:pPr>
      <w:rPr>
        <w:rFonts w:hint="default"/>
        <w:lang w:val="zh-CN" w:eastAsia="zh-CN" w:bidi="zh-CN"/>
      </w:rPr>
    </w:lvl>
    <w:lvl w:ilvl="1" w:tentative="0">
      <w:start w:val="1"/>
      <w:numFmt w:val="decimal"/>
      <w:lvlText w:val="%1.%2"/>
      <w:lvlJc w:val="left"/>
      <w:pPr>
        <w:ind w:left="1511" w:hanging="420"/>
        <w:jc w:val="left"/>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671" w:hanging="840"/>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3503" w:hanging="840"/>
      </w:pPr>
      <w:rPr>
        <w:rFonts w:hint="default"/>
        <w:lang w:val="zh-CN" w:eastAsia="zh-CN" w:bidi="zh-CN"/>
      </w:rPr>
    </w:lvl>
    <w:lvl w:ilvl="4" w:tentative="0">
      <w:start w:val="0"/>
      <w:numFmt w:val="bullet"/>
      <w:lvlText w:val="•"/>
      <w:lvlJc w:val="left"/>
      <w:pPr>
        <w:ind w:left="4495" w:hanging="840"/>
      </w:pPr>
      <w:rPr>
        <w:rFonts w:hint="default"/>
        <w:lang w:val="zh-CN" w:eastAsia="zh-CN" w:bidi="zh-CN"/>
      </w:rPr>
    </w:lvl>
    <w:lvl w:ilvl="5" w:tentative="0">
      <w:start w:val="0"/>
      <w:numFmt w:val="bullet"/>
      <w:lvlText w:val="•"/>
      <w:lvlJc w:val="left"/>
      <w:pPr>
        <w:ind w:left="5487" w:hanging="840"/>
      </w:pPr>
      <w:rPr>
        <w:rFonts w:hint="default"/>
        <w:lang w:val="zh-CN" w:eastAsia="zh-CN" w:bidi="zh-CN"/>
      </w:rPr>
    </w:lvl>
    <w:lvl w:ilvl="6" w:tentative="0">
      <w:start w:val="0"/>
      <w:numFmt w:val="bullet"/>
      <w:lvlText w:val="•"/>
      <w:lvlJc w:val="left"/>
      <w:pPr>
        <w:ind w:left="6478" w:hanging="840"/>
      </w:pPr>
      <w:rPr>
        <w:rFonts w:hint="default"/>
        <w:lang w:val="zh-CN" w:eastAsia="zh-CN" w:bidi="zh-CN"/>
      </w:rPr>
    </w:lvl>
    <w:lvl w:ilvl="7" w:tentative="0">
      <w:start w:val="0"/>
      <w:numFmt w:val="bullet"/>
      <w:lvlText w:val="•"/>
      <w:lvlJc w:val="left"/>
      <w:pPr>
        <w:ind w:left="7470" w:hanging="840"/>
      </w:pPr>
      <w:rPr>
        <w:rFonts w:hint="default"/>
        <w:lang w:val="zh-CN" w:eastAsia="zh-CN" w:bidi="zh-CN"/>
      </w:rPr>
    </w:lvl>
    <w:lvl w:ilvl="8" w:tentative="0">
      <w:start w:val="0"/>
      <w:numFmt w:val="bullet"/>
      <w:lvlText w:val="•"/>
      <w:lvlJc w:val="left"/>
      <w:pPr>
        <w:ind w:left="8462" w:hanging="840"/>
      </w:pPr>
      <w:rPr>
        <w:rFonts w:hint="default"/>
        <w:lang w:val="zh-CN" w:eastAsia="zh-CN" w:bidi="zh-CN"/>
      </w:rPr>
    </w:lvl>
  </w:abstractNum>
  <w:abstractNum w:abstractNumId="21">
    <w:nsid w:val="4FA7FC34"/>
    <w:multiLevelType w:val="multilevel"/>
    <w:tmpl w:val="4FA7FC34"/>
    <w:lvl w:ilvl="0" w:tentative="0">
      <w:start w:val="4"/>
      <w:numFmt w:val="decimal"/>
      <w:lvlText w:val="%1."/>
      <w:lvlJc w:val="left"/>
      <w:pPr>
        <w:ind w:left="106" w:hanging="3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769" w:hanging="320"/>
      </w:pPr>
      <w:rPr>
        <w:rFonts w:hint="default"/>
        <w:lang w:val="zh-CN" w:eastAsia="zh-CN" w:bidi="zh-CN"/>
      </w:rPr>
    </w:lvl>
    <w:lvl w:ilvl="2" w:tentative="0">
      <w:start w:val="0"/>
      <w:numFmt w:val="bullet"/>
      <w:lvlText w:val="•"/>
      <w:lvlJc w:val="left"/>
      <w:pPr>
        <w:ind w:left="1438" w:hanging="320"/>
      </w:pPr>
      <w:rPr>
        <w:rFonts w:hint="default"/>
        <w:lang w:val="zh-CN" w:eastAsia="zh-CN" w:bidi="zh-CN"/>
      </w:rPr>
    </w:lvl>
    <w:lvl w:ilvl="3" w:tentative="0">
      <w:start w:val="0"/>
      <w:numFmt w:val="bullet"/>
      <w:lvlText w:val="•"/>
      <w:lvlJc w:val="left"/>
      <w:pPr>
        <w:ind w:left="2108" w:hanging="320"/>
      </w:pPr>
      <w:rPr>
        <w:rFonts w:hint="default"/>
        <w:lang w:val="zh-CN" w:eastAsia="zh-CN" w:bidi="zh-CN"/>
      </w:rPr>
    </w:lvl>
    <w:lvl w:ilvl="4" w:tentative="0">
      <w:start w:val="0"/>
      <w:numFmt w:val="bullet"/>
      <w:lvlText w:val="•"/>
      <w:lvlJc w:val="left"/>
      <w:pPr>
        <w:ind w:left="2777" w:hanging="320"/>
      </w:pPr>
      <w:rPr>
        <w:rFonts w:hint="default"/>
        <w:lang w:val="zh-CN" w:eastAsia="zh-CN" w:bidi="zh-CN"/>
      </w:rPr>
    </w:lvl>
    <w:lvl w:ilvl="5" w:tentative="0">
      <w:start w:val="0"/>
      <w:numFmt w:val="bullet"/>
      <w:lvlText w:val="•"/>
      <w:lvlJc w:val="left"/>
      <w:pPr>
        <w:ind w:left="3447" w:hanging="320"/>
      </w:pPr>
      <w:rPr>
        <w:rFonts w:hint="default"/>
        <w:lang w:val="zh-CN" w:eastAsia="zh-CN" w:bidi="zh-CN"/>
      </w:rPr>
    </w:lvl>
    <w:lvl w:ilvl="6" w:tentative="0">
      <w:start w:val="0"/>
      <w:numFmt w:val="bullet"/>
      <w:lvlText w:val="•"/>
      <w:lvlJc w:val="left"/>
      <w:pPr>
        <w:ind w:left="4116" w:hanging="320"/>
      </w:pPr>
      <w:rPr>
        <w:rFonts w:hint="default"/>
        <w:lang w:val="zh-CN" w:eastAsia="zh-CN" w:bidi="zh-CN"/>
      </w:rPr>
    </w:lvl>
    <w:lvl w:ilvl="7" w:tentative="0">
      <w:start w:val="0"/>
      <w:numFmt w:val="bullet"/>
      <w:lvlText w:val="•"/>
      <w:lvlJc w:val="left"/>
      <w:pPr>
        <w:ind w:left="4785" w:hanging="320"/>
      </w:pPr>
      <w:rPr>
        <w:rFonts w:hint="default"/>
        <w:lang w:val="zh-CN" w:eastAsia="zh-CN" w:bidi="zh-CN"/>
      </w:rPr>
    </w:lvl>
    <w:lvl w:ilvl="8" w:tentative="0">
      <w:start w:val="0"/>
      <w:numFmt w:val="bullet"/>
      <w:lvlText w:val="•"/>
      <w:lvlJc w:val="left"/>
      <w:pPr>
        <w:ind w:left="5455" w:hanging="320"/>
      </w:pPr>
      <w:rPr>
        <w:rFonts w:hint="default"/>
        <w:lang w:val="zh-CN" w:eastAsia="zh-CN" w:bidi="zh-CN"/>
      </w:rPr>
    </w:lvl>
  </w:abstractNum>
  <w:abstractNum w:abstractNumId="22">
    <w:nsid w:val="63B12E74"/>
    <w:multiLevelType w:val="multilevel"/>
    <w:tmpl w:val="63B12E74"/>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23">
    <w:nsid w:val="659EB354"/>
    <w:multiLevelType w:val="multilevel"/>
    <w:tmpl w:val="659EB354"/>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abstractNum w:abstractNumId="24">
    <w:nsid w:val="6C0BE2D1"/>
    <w:multiLevelType w:val="multilevel"/>
    <w:tmpl w:val="6C0BE2D1"/>
    <w:lvl w:ilvl="0" w:tentative="0">
      <w:start w:val="1"/>
      <w:numFmt w:val="decimal"/>
      <w:lvlText w:val="%1."/>
      <w:lvlJc w:val="left"/>
      <w:pPr>
        <w:ind w:left="1511" w:hanging="360"/>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931" w:hanging="780"/>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671" w:hanging="840"/>
        <w:jc w:val="left"/>
      </w:pPr>
      <w:rPr>
        <w:rFonts w:hint="default" w:ascii="宋体" w:hAnsi="宋体" w:eastAsia="宋体" w:cs="宋体"/>
        <w:spacing w:val="-2"/>
        <w:w w:val="99"/>
        <w:sz w:val="21"/>
        <w:szCs w:val="21"/>
        <w:lang w:val="zh-CN" w:eastAsia="zh-CN" w:bidi="zh-CN"/>
      </w:rPr>
    </w:lvl>
    <w:lvl w:ilvl="3" w:tentative="0">
      <w:start w:val="1"/>
      <w:numFmt w:val="decimal"/>
      <w:lvlText w:val="%1.%2.%3.%4"/>
      <w:lvlJc w:val="left"/>
      <w:pPr>
        <w:ind w:left="1093" w:hanging="944"/>
        <w:jc w:val="left"/>
      </w:pPr>
      <w:rPr>
        <w:rFonts w:hint="default" w:ascii="宋体" w:hAnsi="宋体" w:eastAsia="宋体" w:cs="宋体"/>
        <w:spacing w:val="-2"/>
        <w:w w:val="99"/>
        <w:sz w:val="21"/>
        <w:szCs w:val="21"/>
        <w:lang w:val="zh-CN" w:eastAsia="zh-CN" w:bidi="zh-CN"/>
      </w:rPr>
    </w:lvl>
    <w:lvl w:ilvl="4" w:tentative="0">
      <w:start w:val="0"/>
      <w:numFmt w:val="bullet"/>
      <w:lvlText w:val="•"/>
      <w:lvlJc w:val="left"/>
      <w:pPr>
        <w:ind w:left="1940" w:hanging="944"/>
      </w:pPr>
      <w:rPr>
        <w:rFonts w:hint="default"/>
        <w:lang w:val="zh-CN" w:eastAsia="zh-CN" w:bidi="zh-CN"/>
      </w:rPr>
    </w:lvl>
    <w:lvl w:ilvl="5" w:tentative="0">
      <w:start w:val="0"/>
      <w:numFmt w:val="bullet"/>
      <w:lvlText w:val="•"/>
      <w:lvlJc w:val="left"/>
      <w:pPr>
        <w:ind w:left="3357" w:hanging="944"/>
      </w:pPr>
      <w:rPr>
        <w:rFonts w:hint="default"/>
        <w:lang w:val="zh-CN" w:eastAsia="zh-CN" w:bidi="zh-CN"/>
      </w:rPr>
    </w:lvl>
    <w:lvl w:ilvl="6" w:tentative="0">
      <w:start w:val="0"/>
      <w:numFmt w:val="bullet"/>
      <w:lvlText w:val="•"/>
      <w:lvlJc w:val="left"/>
      <w:pPr>
        <w:ind w:left="4775" w:hanging="944"/>
      </w:pPr>
      <w:rPr>
        <w:rFonts w:hint="default"/>
        <w:lang w:val="zh-CN" w:eastAsia="zh-CN" w:bidi="zh-CN"/>
      </w:rPr>
    </w:lvl>
    <w:lvl w:ilvl="7" w:tentative="0">
      <w:start w:val="0"/>
      <w:numFmt w:val="bullet"/>
      <w:lvlText w:val="•"/>
      <w:lvlJc w:val="left"/>
      <w:pPr>
        <w:ind w:left="6193" w:hanging="944"/>
      </w:pPr>
      <w:rPr>
        <w:rFonts w:hint="default"/>
        <w:lang w:val="zh-CN" w:eastAsia="zh-CN" w:bidi="zh-CN"/>
      </w:rPr>
    </w:lvl>
    <w:lvl w:ilvl="8" w:tentative="0">
      <w:start w:val="0"/>
      <w:numFmt w:val="bullet"/>
      <w:lvlText w:val="•"/>
      <w:lvlJc w:val="left"/>
      <w:pPr>
        <w:ind w:left="7610" w:hanging="944"/>
      </w:pPr>
      <w:rPr>
        <w:rFonts w:hint="default"/>
        <w:lang w:val="zh-CN" w:eastAsia="zh-CN" w:bidi="zh-CN"/>
      </w:rPr>
    </w:lvl>
  </w:abstractNum>
  <w:abstractNum w:abstractNumId="25">
    <w:nsid w:val="70F95E71"/>
    <w:multiLevelType w:val="multilevel"/>
    <w:tmpl w:val="70F95E71"/>
    <w:lvl w:ilvl="0" w:tentative="0">
      <w:start w:val="3"/>
      <w:numFmt w:val="decimal"/>
      <w:lvlText w:val="(%1)"/>
      <w:lvlJc w:val="left"/>
      <w:pPr>
        <w:ind w:left="1407"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304" w:hanging="317"/>
      </w:pPr>
      <w:rPr>
        <w:rFonts w:hint="default"/>
        <w:lang w:val="zh-CN" w:eastAsia="zh-CN" w:bidi="zh-CN"/>
      </w:rPr>
    </w:lvl>
    <w:lvl w:ilvl="2" w:tentative="0">
      <w:start w:val="0"/>
      <w:numFmt w:val="bullet"/>
      <w:lvlText w:val="•"/>
      <w:lvlJc w:val="left"/>
      <w:pPr>
        <w:ind w:left="3209" w:hanging="317"/>
      </w:pPr>
      <w:rPr>
        <w:rFonts w:hint="default"/>
        <w:lang w:val="zh-CN" w:eastAsia="zh-CN" w:bidi="zh-CN"/>
      </w:rPr>
    </w:lvl>
    <w:lvl w:ilvl="3" w:tentative="0">
      <w:start w:val="0"/>
      <w:numFmt w:val="bullet"/>
      <w:lvlText w:val="•"/>
      <w:lvlJc w:val="left"/>
      <w:pPr>
        <w:ind w:left="4113" w:hanging="317"/>
      </w:pPr>
      <w:rPr>
        <w:rFonts w:hint="default"/>
        <w:lang w:val="zh-CN" w:eastAsia="zh-CN" w:bidi="zh-CN"/>
      </w:rPr>
    </w:lvl>
    <w:lvl w:ilvl="4" w:tentative="0">
      <w:start w:val="0"/>
      <w:numFmt w:val="bullet"/>
      <w:lvlText w:val="•"/>
      <w:lvlJc w:val="left"/>
      <w:pPr>
        <w:ind w:left="5018" w:hanging="317"/>
      </w:pPr>
      <w:rPr>
        <w:rFonts w:hint="default"/>
        <w:lang w:val="zh-CN" w:eastAsia="zh-CN" w:bidi="zh-CN"/>
      </w:rPr>
    </w:lvl>
    <w:lvl w:ilvl="5" w:tentative="0">
      <w:start w:val="0"/>
      <w:numFmt w:val="bullet"/>
      <w:lvlText w:val="•"/>
      <w:lvlJc w:val="left"/>
      <w:pPr>
        <w:ind w:left="5923" w:hanging="317"/>
      </w:pPr>
      <w:rPr>
        <w:rFonts w:hint="default"/>
        <w:lang w:val="zh-CN" w:eastAsia="zh-CN" w:bidi="zh-CN"/>
      </w:rPr>
    </w:lvl>
    <w:lvl w:ilvl="6" w:tentative="0">
      <w:start w:val="0"/>
      <w:numFmt w:val="bullet"/>
      <w:lvlText w:val="•"/>
      <w:lvlJc w:val="left"/>
      <w:pPr>
        <w:ind w:left="6827" w:hanging="317"/>
      </w:pPr>
      <w:rPr>
        <w:rFonts w:hint="default"/>
        <w:lang w:val="zh-CN" w:eastAsia="zh-CN" w:bidi="zh-CN"/>
      </w:rPr>
    </w:lvl>
    <w:lvl w:ilvl="7" w:tentative="0">
      <w:start w:val="0"/>
      <w:numFmt w:val="bullet"/>
      <w:lvlText w:val="•"/>
      <w:lvlJc w:val="left"/>
      <w:pPr>
        <w:ind w:left="7732" w:hanging="317"/>
      </w:pPr>
      <w:rPr>
        <w:rFonts w:hint="default"/>
        <w:lang w:val="zh-CN" w:eastAsia="zh-CN" w:bidi="zh-CN"/>
      </w:rPr>
    </w:lvl>
    <w:lvl w:ilvl="8" w:tentative="0">
      <w:start w:val="0"/>
      <w:numFmt w:val="bullet"/>
      <w:lvlText w:val="•"/>
      <w:lvlJc w:val="left"/>
      <w:pPr>
        <w:ind w:left="8636" w:hanging="317"/>
      </w:pPr>
      <w:rPr>
        <w:rFonts w:hint="default"/>
        <w:lang w:val="zh-CN" w:eastAsia="zh-CN" w:bidi="zh-CN"/>
      </w:rPr>
    </w:lvl>
  </w:abstractNum>
  <w:abstractNum w:abstractNumId="26">
    <w:nsid w:val="744F3566"/>
    <w:multiLevelType w:val="multilevel"/>
    <w:tmpl w:val="744F3566"/>
    <w:lvl w:ilvl="0" w:tentative="0">
      <w:start w:val="1"/>
      <w:numFmt w:val="decimal"/>
      <w:lvlText w:val="（%1）"/>
      <w:lvlJc w:val="left"/>
      <w:pPr>
        <w:ind w:left="1615"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02" w:hanging="525"/>
      </w:pPr>
      <w:rPr>
        <w:rFonts w:hint="default"/>
        <w:lang w:val="zh-CN" w:eastAsia="zh-CN" w:bidi="zh-CN"/>
      </w:rPr>
    </w:lvl>
    <w:lvl w:ilvl="2" w:tentative="0">
      <w:start w:val="0"/>
      <w:numFmt w:val="bullet"/>
      <w:lvlText w:val="•"/>
      <w:lvlJc w:val="left"/>
      <w:pPr>
        <w:ind w:left="338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50" w:hanging="525"/>
      </w:pPr>
      <w:rPr>
        <w:rFonts w:hint="default"/>
        <w:lang w:val="zh-CN" w:eastAsia="zh-CN" w:bidi="zh-CN"/>
      </w:rPr>
    </w:lvl>
    <w:lvl w:ilvl="5" w:tentative="0">
      <w:start w:val="0"/>
      <w:numFmt w:val="bullet"/>
      <w:lvlText w:val="•"/>
      <w:lvlJc w:val="left"/>
      <w:pPr>
        <w:ind w:left="6033" w:hanging="525"/>
      </w:pPr>
      <w:rPr>
        <w:rFonts w:hint="default"/>
        <w:lang w:val="zh-CN" w:eastAsia="zh-CN" w:bidi="zh-CN"/>
      </w:rPr>
    </w:lvl>
    <w:lvl w:ilvl="6" w:tentative="0">
      <w:start w:val="0"/>
      <w:numFmt w:val="bullet"/>
      <w:lvlText w:val="•"/>
      <w:lvlJc w:val="left"/>
      <w:pPr>
        <w:ind w:left="6915" w:hanging="525"/>
      </w:pPr>
      <w:rPr>
        <w:rFonts w:hint="default"/>
        <w:lang w:val="zh-CN" w:eastAsia="zh-CN" w:bidi="zh-CN"/>
      </w:rPr>
    </w:lvl>
    <w:lvl w:ilvl="7" w:tentative="0">
      <w:start w:val="0"/>
      <w:numFmt w:val="bullet"/>
      <w:lvlText w:val="•"/>
      <w:lvlJc w:val="left"/>
      <w:pPr>
        <w:ind w:left="7798" w:hanging="525"/>
      </w:pPr>
      <w:rPr>
        <w:rFonts w:hint="default"/>
        <w:lang w:val="zh-CN" w:eastAsia="zh-CN" w:bidi="zh-CN"/>
      </w:rPr>
    </w:lvl>
    <w:lvl w:ilvl="8" w:tentative="0">
      <w:start w:val="0"/>
      <w:numFmt w:val="bullet"/>
      <w:lvlText w:val="•"/>
      <w:lvlJc w:val="left"/>
      <w:pPr>
        <w:ind w:left="8680" w:hanging="525"/>
      </w:pPr>
      <w:rPr>
        <w:rFonts w:hint="default"/>
        <w:lang w:val="zh-CN" w:eastAsia="zh-CN" w:bidi="zh-CN"/>
      </w:rPr>
    </w:lvl>
  </w:abstractNum>
  <w:num w:numId="1">
    <w:abstractNumId w:val="18"/>
  </w:num>
  <w:num w:numId="2">
    <w:abstractNumId w:val="14"/>
  </w:num>
  <w:num w:numId="3">
    <w:abstractNumId w:val="17"/>
  </w:num>
  <w:num w:numId="4">
    <w:abstractNumId w:val="6"/>
  </w:num>
  <w:num w:numId="5">
    <w:abstractNumId w:val="21"/>
  </w:num>
  <w:num w:numId="6">
    <w:abstractNumId w:val="19"/>
  </w:num>
  <w:num w:numId="7">
    <w:abstractNumId w:val="15"/>
  </w:num>
  <w:num w:numId="8">
    <w:abstractNumId w:val="24"/>
  </w:num>
  <w:num w:numId="9">
    <w:abstractNumId w:val="2"/>
  </w:num>
  <w:num w:numId="10">
    <w:abstractNumId w:val="23"/>
  </w:num>
  <w:num w:numId="11">
    <w:abstractNumId w:val="7"/>
  </w:num>
  <w:num w:numId="12">
    <w:abstractNumId w:val="22"/>
  </w:num>
  <w:num w:numId="13">
    <w:abstractNumId w:val="16"/>
  </w:num>
  <w:num w:numId="14">
    <w:abstractNumId w:val="26"/>
  </w:num>
  <w:num w:numId="15">
    <w:abstractNumId w:val="25"/>
  </w:num>
  <w:num w:numId="16">
    <w:abstractNumId w:val="8"/>
  </w:num>
  <w:num w:numId="17">
    <w:abstractNumId w:val="9"/>
  </w:num>
  <w:num w:numId="18">
    <w:abstractNumId w:val="10"/>
  </w:num>
  <w:num w:numId="19">
    <w:abstractNumId w:val="1"/>
  </w:num>
  <w:num w:numId="20">
    <w:abstractNumId w:val="3"/>
  </w:num>
  <w:num w:numId="21">
    <w:abstractNumId w:val="20"/>
  </w:num>
  <w:num w:numId="22">
    <w:abstractNumId w:val="4"/>
  </w:num>
  <w:num w:numId="23">
    <w:abstractNumId w:val="5"/>
  </w:num>
  <w:num w:numId="24">
    <w:abstractNumId w:val="0"/>
  </w:num>
  <w:num w:numId="25">
    <w:abstractNumId w:val="11"/>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ZjEzMmM3MTIwZTM5MGE2YjRhYjZiNTU0YTE2N2QifQ=="/>
  </w:docVars>
  <w:rsids>
    <w:rsidRoot w:val="00000000"/>
    <w:rsid w:val="004B3D6A"/>
    <w:rsid w:val="00CD6C91"/>
    <w:rsid w:val="00E91BE0"/>
    <w:rsid w:val="01045AF8"/>
    <w:rsid w:val="013D13CB"/>
    <w:rsid w:val="01EE2049"/>
    <w:rsid w:val="01F56947"/>
    <w:rsid w:val="02977200"/>
    <w:rsid w:val="029E610F"/>
    <w:rsid w:val="02D80C4A"/>
    <w:rsid w:val="033021AC"/>
    <w:rsid w:val="03332F3B"/>
    <w:rsid w:val="03A213D8"/>
    <w:rsid w:val="043C3EF7"/>
    <w:rsid w:val="05DA4781"/>
    <w:rsid w:val="05F25BFE"/>
    <w:rsid w:val="06B94999"/>
    <w:rsid w:val="07AA6A4D"/>
    <w:rsid w:val="07BF1583"/>
    <w:rsid w:val="08230990"/>
    <w:rsid w:val="0859473E"/>
    <w:rsid w:val="087A0A5C"/>
    <w:rsid w:val="091268D2"/>
    <w:rsid w:val="09E14B04"/>
    <w:rsid w:val="09FD0AAB"/>
    <w:rsid w:val="09FE5722"/>
    <w:rsid w:val="0A55503C"/>
    <w:rsid w:val="0A9674BF"/>
    <w:rsid w:val="0AEE70A5"/>
    <w:rsid w:val="0B484874"/>
    <w:rsid w:val="0B6F1052"/>
    <w:rsid w:val="0BF43EC2"/>
    <w:rsid w:val="0CA63B0A"/>
    <w:rsid w:val="0D6C3C72"/>
    <w:rsid w:val="0D6E7435"/>
    <w:rsid w:val="0D8522A7"/>
    <w:rsid w:val="0D86280A"/>
    <w:rsid w:val="0D8E3B6D"/>
    <w:rsid w:val="0DA56335"/>
    <w:rsid w:val="0E383F97"/>
    <w:rsid w:val="0ECE18A9"/>
    <w:rsid w:val="0EFC3BCB"/>
    <w:rsid w:val="0F461358"/>
    <w:rsid w:val="0F461D97"/>
    <w:rsid w:val="0F6871F3"/>
    <w:rsid w:val="0FF84117"/>
    <w:rsid w:val="125E78B0"/>
    <w:rsid w:val="12972E04"/>
    <w:rsid w:val="12EB724F"/>
    <w:rsid w:val="12FD0939"/>
    <w:rsid w:val="13004B95"/>
    <w:rsid w:val="130D2AB6"/>
    <w:rsid w:val="137430EF"/>
    <w:rsid w:val="13791DD8"/>
    <w:rsid w:val="15710521"/>
    <w:rsid w:val="169F53BF"/>
    <w:rsid w:val="16DE55BC"/>
    <w:rsid w:val="17496DD1"/>
    <w:rsid w:val="176134A4"/>
    <w:rsid w:val="18192F21"/>
    <w:rsid w:val="183E0ED2"/>
    <w:rsid w:val="185A7404"/>
    <w:rsid w:val="18F71406"/>
    <w:rsid w:val="19234306"/>
    <w:rsid w:val="19542B9D"/>
    <w:rsid w:val="19650028"/>
    <w:rsid w:val="19DA606F"/>
    <w:rsid w:val="1A1500DF"/>
    <w:rsid w:val="1AAD3274"/>
    <w:rsid w:val="1BAE0E7D"/>
    <w:rsid w:val="1C1000BA"/>
    <w:rsid w:val="1D046632"/>
    <w:rsid w:val="1DB66F95"/>
    <w:rsid w:val="1DF046F6"/>
    <w:rsid w:val="1E082909"/>
    <w:rsid w:val="1E180110"/>
    <w:rsid w:val="1E8079E2"/>
    <w:rsid w:val="1F003A9B"/>
    <w:rsid w:val="1F140362"/>
    <w:rsid w:val="1F22621A"/>
    <w:rsid w:val="1F6E6CD2"/>
    <w:rsid w:val="1FAA54B4"/>
    <w:rsid w:val="20281B4A"/>
    <w:rsid w:val="2131495A"/>
    <w:rsid w:val="22502CCA"/>
    <w:rsid w:val="227855A0"/>
    <w:rsid w:val="238934D0"/>
    <w:rsid w:val="23BF048D"/>
    <w:rsid w:val="24791AC5"/>
    <w:rsid w:val="24B03565"/>
    <w:rsid w:val="24C73E78"/>
    <w:rsid w:val="24E653D8"/>
    <w:rsid w:val="24FF4A01"/>
    <w:rsid w:val="25307A91"/>
    <w:rsid w:val="257776A9"/>
    <w:rsid w:val="25AD5835"/>
    <w:rsid w:val="262342C6"/>
    <w:rsid w:val="26477F4B"/>
    <w:rsid w:val="26B06968"/>
    <w:rsid w:val="272C4BAB"/>
    <w:rsid w:val="27A0213E"/>
    <w:rsid w:val="28067564"/>
    <w:rsid w:val="28CC7D5B"/>
    <w:rsid w:val="292222A9"/>
    <w:rsid w:val="29260488"/>
    <w:rsid w:val="29882BFE"/>
    <w:rsid w:val="29B724A6"/>
    <w:rsid w:val="2A3F2361"/>
    <w:rsid w:val="2A82155A"/>
    <w:rsid w:val="2A981713"/>
    <w:rsid w:val="2B8036D1"/>
    <w:rsid w:val="2C3F0EDD"/>
    <w:rsid w:val="2D5F0A97"/>
    <w:rsid w:val="2EFC2B87"/>
    <w:rsid w:val="2F210D1A"/>
    <w:rsid w:val="2F953C7A"/>
    <w:rsid w:val="2FB35F64"/>
    <w:rsid w:val="309550E4"/>
    <w:rsid w:val="30CE2E8E"/>
    <w:rsid w:val="30FA2F2F"/>
    <w:rsid w:val="31162D4D"/>
    <w:rsid w:val="313C1E8F"/>
    <w:rsid w:val="322A3AC0"/>
    <w:rsid w:val="32530324"/>
    <w:rsid w:val="32C71AD7"/>
    <w:rsid w:val="33E700FF"/>
    <w:rsid w:val="33FD0C98"/>
    <w:rsid w:val="34764DB2"/>
    <w:rsid w:val="34930F00"/>
    <w:rsid w:val="35216C1E"/>
    <w:rsid w:val="35290514"/>
    <w:rsid w:val="352D033E"/>
    <w:rsid w:val="355818F4"/>
    <w:rsid w:val="35C136A8"/>
    <w:rsid w:val="3645448D"/>
    <w:rsid w:val="38225925"/>
    <w:rsid w:val="38C97D2E"/>
    <w:rsid w:val="38E44E35"/>
    <w:rsid w:val="3A20157A"/>
    <w:rsid w:val="3A40707C"/>
    <w:rsid w:val="3A5F69DA"/>
    <w:rsid w:val="3AEA794F"/>
    <w:rsid w:val="3AFF3502"/>
    <w:rsid w:val="3B0526CA"/>
    <w:rsid w:val="3C187D2E"/>
    <w:rsid w:val="3CCF2CAD"/>
    <w:rsid w:val="3D2E018D"/>
    <w:rsid w:val="3DA11C61"/>
    <w:rsid w:val="3DBC19C6"/>
    <w:rsid w:val="3DEF4F79"/>
    <w:rsid w:val="3E1076A7"/>
    <w:rsid w:val="3E241CE0"/>
    <w:rsid w:val="4153027E"/>
    <w:rsid w:val="4163519D"/>
    <w:rsid w:val="420665CA"/>
    <w:rsid w:val="42636413"/>
    <w:rsid w:val="4444718B"/>
    <w:rsid w:val="44494757"/>
    <w:rsid w:val="44525CDC"/>
    <w:rsid w:val="44722ED7"/>
    <w:rsid w:val="447E04E8"/>
    <w:rsid w:val="447E723B"/>
    <w:rsid w:val="44BB3A80"/>
    <w:rsid w:val="44D81DAB"/>
    <w:rsid w:val="457B600B"/>
    <w:rsid w:val="46331A23"/>
    <w:rsid w:val="4664027D"/>
    <w:rsid w:val="4705390D"/>
    <w:rsid w:val="48687713"/>
    <w:rsid w:val="49203C66"/>
    <w:rsid w:val="493B49CF"/>
    <w:rsid w:val="499B5B0C"/>
    <w:rsid w:val="4A4212B4"/>
    <w:rsid w:val="4A5D14ED"/>
    <w:rsid w:val="4A6A6B94"/>
    <w:rsid w:val="4B317895"/>
    <w:rsid w:val="4B666CAF"/>
    <w:rsid w:val="4BA5275E"/>
    <w:rsid w:val="4CB35D9F"/>
    <w:rsid w:val="4DA94B6B"/>
    <w:rsid w:val="4DBF1B82"/>
    <w:rsid w:val="4E1833A5"/>
    <w:rsid w:val="4E3F1F24"/>
    <w:rsid w:val="4E6214AD"/>
    <w:rsid w:val="4EE91DD7"/>
    <w:rsid w:val="4F1803F4"/>
    <w:rsid w:val="4F644E50"/>
    <w:rsid w:val="4F6A370D"/>
    <w:rsid w:val="4F763198"/>
    <w:rsid w:val="4F9F635F"/>
    <w:rsid w:val="5004525A"/>
    <w:rsid w:val="50361F67"/>
    <w:rsid w:val="50B67110"/>
    <w:rsid w:val="522E74F4"/>
    <w:rsid w:val="523969BE"/>
    <w:rsid w:val="523B1AE1"/>
    <w:rsid w:val="52537617"/>
    <w:rsid w:val="52FF31FF"/>
    <w:rsid w:val="543054D2"/>
    <w:rsid w:val="543B1204"/>
    <w:rsid w:val="54C37C19"/>
    <w:rsid w:val="54D40F71"/>
    <w:rsid w:val="561D3AA5"/>
    <w:rsid w:val="5650185B"/>
    <w:rsid w:val="56E32B7D"/>
    <w:rsid w:val="56EB1DE9"/>
    <w:rsid w:val="577C7FAB"/>
    <w:rsid w:val="5795565E"/>
    <w:rsid w:val="582D223F"/>
    <w:rsid w:val="582D4082"/>
    <w:rsid w:val="587166BA"/>
    <w:rsid w:val="58A05326"/>
    <w:rsid w:val="58DB1423"/>
    <w:rsid w:val="58F878F5"/>
    <w:rsid w:val="592D69DE"/>
    <w:rsid w:val="59433123"/>
    <w:rsid w:val="59FF7DCE"/>
    <w:rsid w:val="5A4968FF"/>
    <w:rsid w:val="5A91354B"/>
    <w:rsid w:val="5AA8538D"/>
    <w:rsid w:val="5ABF7B16"/>
    <w:rsid w:val="5AEF6BD8"/>
    <w:rsid w:val="5AF1292A"/>
    <w:rsid w:val="5AF86735"/>
    <w:rsid w:val="5AFF5A2B"/>
    <w:rsid w:val="5B072393"/>
    <w:rsid w:val="5B213D76"/>
    <w:rsid w:val="5B563C75"/>
    <w:rsid w:val="5B8D251A"/>
    <w:rsid w:val="5CA40C9C"/>
    <w:rsid w:val="5CB17560"/>
    <w:rsid w:val="5D2F3679"/>
    <w:rsid w:val="5D552A38"/>
    <w:rsid w:val="5D6C5EC1"/>
    <w:rsid w:val="5D9053ED"/>
    <w:rsid w:val="5DA92D70"/>
    <w:rsid w:val="5DB77183"/>
    <w:rsid w:val="5E404D36"/>
    <w:rsid w:val="5EF15FD7"/>
    <w:rsid w:val="5F3574D3"/>
    <w:rsid w:val="5F807FA9"/>
    <w:rsid w:val="5F8F7558"/>
    <w:rsid w:val="6004573D"/>
    <w:rsid w:val="601259AF"/>
    <w:rsid w:val="603A0E15"/>
    <w:rsid w:val="60464727"/>
    <w:rsid w:val="605C0EC2"/>
    <w:rsid w:val="6150546D"/>
    <w:rsid w:val="61711316"/>
    <w:rsid w:val="62051A38"/>
    <w:rsid w:val="620873BF"/>
    <w:rsid w:val="6263522B"/>
    <w:rsid w:val="627C0D85"/>
    <w:rsid w:val="62B676F7"/>
    <w:rsid w:val="631F4A3B"/>
    <w:rsid w:val="635351EB"/>
    <w:rsid w:val="63EE2B6D"/>
    <w:rsid w:val="63FA1B0E"/>
    <w:rsid w:val="64631434"/>
    <w:rsid w:val="647157F7"/>
    <w:rsid w:val="64AF43A9"/>
    <w:rsid w:val="64BC495D"/>
    <w:rsid w:val="655E5DDC"/>
    <w:rsid w:val="657A0412"/>
    <w:rsid w:val="65F54D49"/>
    <w:rsid w:val="6614068F"/>
    <w:rsid w:val="66DA71D9"/>
    <w:rsid w:val="676958DE"/>
    <w:rsid w:val="67797405"/>
    <w:rsid w:val="67DF559E"/>
    <w:rsid w:val="682B1530"/>
    <w:rsid w:val="683370D5"/>
    <w:rsid w:val="68820BAE"/>
    <w:rsid w:val="69056FC9"/>
    <w:rsid w:val="69845D7F"/>
    <w:rsid w:val="69E82C14"/>
    <w:rsid w:val="6A4F4633"/>
    <w:rsid w:val="6A62066B"/>
    <w:rsid w:val="6AB76280"/>
    <w:rsid w:val="6ACC4013"/>
    <w:rsid w:val="6B0F779E"/>
    <w:rsid w:val="6B4A4F7D"/>
    <w:rsid w:val="6C19295E"/>
    <w:rsid w:val="6C1E6D76"/>
    <w:rsid w:val="6CA95CD4"/>
    <w:rsid w:val="6CF638E6"/>
    <w:rsid w:val="6D0D6135"/>
    <w:rsid w:val="6D2F35D0"/>
    <w:rsid w:val="6D5E0A9C"/>
    <w:rsid w:val="6E7229E5"/>
    <w:rsid w:val="6EA33FC1"/>
    <w:rsid w:val="6F1929B3"/>
    <w:rsid w:val="6F233C80"/>
    <w:rsid w:val="6F2B076D"/>
    <w:rsid w:val="6F4E502F"/>
    <w:rsid w:val="6FF206C8"/>
    <w:rsid w:val="70CF3536"/>
    <w:rsid w:val="70F54886"/>
    <w:rsid w:val="7166430D"/>
    <w:rsid w:val="71D27CD8"/>
    <w:rsid w:val="71DA22A0"/>
    <w:rsid w:val="725A21C1"/>
    <w:rsid w:val="72990207"/>
    <w:rsid w:val="72DF4E14"/>
    <w:rsid w:val="74A20FD1"/>
    <w:rsid w:val="75AB7905"/>
    <w:rsid w:val="75C3180B"/>
    <w:rsid w:val="75C369DF"/>
    <w:rsid w:val="75D965D8"/>
    <w:rsid w:val="765C3BD4"/>
    <w:rsid w:val="76C404B3"/>
    <w:rsid w:val="76FE7062"/>
    <w:rsid w:val="773963E4"/>
    <w:rsid w:val="775D73C8"/>
    <w:rsid w:val="782829DF"/>
    <w:rsid w:val="7869285E"/>
    <w:rsid w:val="78CC0BF2"/>
    <w:rsid w:val="78F12BFD"/>
    <w:rsid w:val="79E42749"/>
    <w:rsid w:val="7A2742D2"/>
    <w:rsid w:val="7A2A6524"/>
    <w:rsid w:val="7AA448E8"/>
    <w:rsid w:val="7AB24AD7"/>
    <w:rsid w:val="7AB37D1F"/>
    <w:rsid w:val="7AE9456C"/>
    <w:rsid w:val="7B110CEA"/>
    <w:rsid w:val="7B293260"/>
    <w:rsid w:val="7B2D1921"/>
    <w:rsid w:val="7BBB19C8"/>
    <w:rsid w:val="7CA7288F"/>
    <w:rsid w:val="7DAA024B"/>
    <w:rsid w:val="7EF47BCA"/>
    <w:rsid w:val="7F0223E9"/>
    <w:rsid w:val="7F1F45E8"/>
    <w:rsid w:val="7FCB0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link w:val="30"/>
    <w:qFormat/>
    <w:uiPriority w:val="1"/>
    <w:pPr>
      <w:jc w:val="center"/>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ind w:left="220"/>
      <w:outlineLvl w:val="2"/>
    </w:pPr>
    <w:rPr>
      <w:rFonts w:ascii="宋体" w:hAnsi="宋体" w:eastAsia="宋体" w:cs="宋体"/>
      <w:sz w:val="32"/>
      <w:szCs w:val="32"/>
      <w:lang w:val="zh-CN" w:eastAsia="zh-CN" w:bidi="zh-CN"/>
    </w:rPr>
  </w:style>
  <w:style w:type="paragraph" w:styleId="5">
    <w:name w:val="heading 3"/>
    <w:basedOn w:val="1"/>
    <w:next w:val="1"/>
    <w:qFormat/>
    <w:uiPriority w:val="1"/>
    <w:pPr>
      <w:ind w:right="744"/>
      <w:jc w:val="center"/>
      <w:outlineLvl w:val="3"/>
    </w:pPr>
    <w:rPr>
      <w:rFonts w:ascii="宋体" w:hAnsi="宋体" w:eastAsia="宋体" w:cs="宋体"/>
      <w:b/>
      <w:bCs/>
      <w:sz w:val="30"/>
      <w:szCs w:val="30"/>
      <w:lang w:val="zh-CN" w:eastAsia="zh-CN" w:bidi="zh-CN"/>
    </w:rPr>
  </w:style>
  <w:style w:type="paragraph" w:styleId="6">
    <w:name w:val="heading 4"/>
    <w:basedOn w:val="1"/>
    <w:next w:val="1"/>
    <w:link w:val="31"/>
    <w:qFormat/>
    <w:uiPriority w:val="1"/>
    <w:pPr>
      <w:ind w:right="285"/>
      <w:jc w:val="center"/>
      <w:outlineLvl w:val="4"/>
    </w:pPr>
    <w:rPr>
      <w:rFonts w:ascii="宋体" w:hAnsi="宋体" w:eastAsia="宋体" w:cs="宋体"/>
      <w:sz w:val="30"/>
      <w:szCs w:val="30"/>
      <w:lang w:val="zh-CN" w:eastAsia="zh-CN" w:bidi="zh-CN"/>
    </w:rPr>
  </w:style>
  <w:style w:type="paragraph" w:styleId="7">
    <w:name w:val="heading 5"/>
    <w:basedOn w:val="1"/>
    <w:next w:val="1"/>
    <w:qFormat/>
    <w:uiPriority w:val="1"/>
    <w:pPr>
      <w:ind w:left="1578"/>
      <w:outlineLvl w:val="5"/>
    </w:pPr>
    <w:rPr>
      <w:rFonts w:ascii="宋体" w:hAnsi="宋体" w:eastAsia="宋体" w:cs="宋体"/>
      <w:b/>
      <w:bCs/>
      <w:sz w:val="28"/>
      <w:szCs w:val="28"/>
      <w:lang w:val="zh-CN" w:eastAsia="zh-CN" w:bidi="zh-CN"/>
    </w:rPr>
  </w:style>
  <w:style w:type="paragraph" w:styleId="8">
    <w:name w:val="heading 6"/>
    <w:basedOn w:val="1"/>
    <w:next w:val="1"/>
    <w:qFormat/>
    <w:uiPriority w:val="1"/>
    <w:pPr>
      <w:spacing w:before="61"/>
      <w:outlineLvl w:val="6"/>
    </w:pPr>
    <w:rPr>
      <w:rFonts w:ascii="宋体" w:hAnsi="宋体" w:eastAsia="宋体" w:cs="宋体"/>
      <w:sz w:val="28"/>
      <w:szCs w:val="28"/>
      <w:lang w:val="zh-CN" w:eastAsia="zh-CN" w:bidi="zh-CN"/>
    </w:rPr>
  </w:style>
  <w:style w:type="paragraph" w:styleId="9">
    <w:name w:val="heading 7"/>
    <w:basedOn w:val="1"/>
    <w:next w:val="1"/>
    <w:qFormat/>
    <w:uiPriority w:val="1"/>
    <w:pPr>
      <w:ind w:left="1931" w:hanging="781"/>
      <w:outlineLvl w:val="7"/>
    </w:pPr>
    <w:rPr>
      <w:rFonts w:ascii="宋体" w:hAnsi="宋体" w:eastAsia="宋体" w:cs="宋体"/>
      <w:b/>
      <w:bCs/>
      <w:sz w:val="24"/>
      <w:szCs w:val="24"/>
      <w:lang w:val="zh-CN" w:eastAsia="zh-CN" w:bidi="zh-CN"/>
    </w:rPr>
  </w:style>
  <w:style w:type="paragraph" w:styleId="10">
    <w:name w:val="heading 8"/>
    <w:basedOn w:val="1"/>
    <w:next w:val="1"/>
    <w:qFormat/>
    <w:uiPriority w:val="1"/>
    <w:pPr>
      <w:ind w:left="220"/>
      <w:outlineLvl w:val="8"/>
    </w:pPr>
    <w:rPr>
      <w:rFonts w:ascii="宋体" w:hAnsi="宋体" w:eastAsia="宋体" w:cs="宋体"/>
      <w:sz w:val="24"/>
      <w:szCs w:val="24"/>
      <w:lang w:val="zh-CN" w:eastAsia="zh-CN" w:bidi="zh-CN"/>
    </w:rPr>
  </w:style>
  <w:style w:type="paragraph" w:styleId="11">
    <w:name w:val="heading 9"/>
    <w:basedOn w:val="1"/>
    <w:next w:val="1"/>
    <w:qFormat/>
    <w:uiPriority w:val="1"/>
    <w:pPr>
      <w:ind w:left="220"/>
      <w:outlineLvl w:val="9"/>
    </w:pPr>
    <w:rPr>
      <w:rFonts w:ascii="宋体" w:hAnsi="宋体" w:eastAsia="宋体" w:cs="宋体"/>
      <w:sz w:val="22"/>
      <w:szCs w:val="22"/>
      <w:lang w:val="zh-CN" w:eastAsia="zh-CN" w:bidi="zh-CN"/>
    </w:rPr>
  </w:style>
  <w:style w:type="character" w:default="1" w:styleId="25">
    <w:name w:val="Default Paragraph Font"/>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1"/>
    <w:unhideWhenUsed/>
    <w:qFormat/>
    <w:uiPriority w:val="0"/>
    <w:pPr>
      <w:spacing w:beforeLines="0" w:after="120" w:afterLines="0"/>
      <w:ind w:firstLine="420" w:firstLineChars="100"/>
    </w:pPr>
    <w:rPr>
      <w:rFonts w:hint="default"/>
      <w:sz w:val="21"/>
    </w:rPr>
  </w:style>
  <w:style w:type="paragraph" w:styleId="12">
    <w:name w:val="Normal Indent"/>
    <w:basedOn w:val="1"/>
    <w:qFormat/>
    <w:uiPriority w:val="0"/>
    <w:pPr>
      <w:ind w:firstLine="420"/>
    </w:pPr>
  </w:style>
  <w:style w:type="paragraph" w:styleId="13">
    <w:name w:val="annotation text"/>
    <w:basedOn w:val="1"/>
    <w:qFormat/>
    <w:uiPriority w:val="0"/>
    <w:pPr>
      <w:jc w:val="left"/>
    </w:pPr>
    <w:rPr>
      <w:rFonts w:cs="Times New Roman"/>
      <w:kern w:val="0"/>
      <w:sz w:val="20"/>
      <w:szCs w:val="20"/>
    </w:rPr>
  </w:style>
  <w:style w:type="paragraph" w:styleId="14">
    <w:name w:val="Body Text"/>
    <w:basedOn w:val="1"/>
    <w:qFormat/>
    <w:uiPriority w:val="1"/>
    <w:rPr>
      <w:rFonts w:ascii="宋体" w:hAnsi="宋体" w:eastAsia="宋体" w:cs="宋体"/>
      <w:sz w:val="21"/>
      <w:szCs w:val="21"/>
      <w:lang w:val="zh-CN" w:eastAsia="zh-CN" w:bidi="zh-CN"/>
    </w:rPr>
  </w:style>
  <w:style w:type="paragraph" w:styleId="15">
    <w:name w:val="Body Text Indent"/>
    <w:basedOn w:val="1"/>
    <w:next w:val="1"/>
    <w:uiPriority w:val="0"/>
    <w:pPr>
      <w:spacing w:after="120" w:afterLines="0" w:line="240" w:lineRule="auto"/>
      <w:ind w:left="420" w:leftChars="200"/>
    </w:pPr>
    <w:rPr>
      <w:sz w:val="21"/>
      <w:szCs w:val="24"/>
    </w:rPr>
  </w:style>
  <w:style w:type="paragraph" w:styleId="16">
    <w:name w:val="Plain Text"/>
    <w:basedOn w:val="1"/>
    <w:uiPriority w:val="0"/>
    <w:rPr>
      <w:rFonts w:ascii="宋体" w:hAnsi="Courier New" w:eastAsia="宋体" w:cs="Times New Roman"/>
      <w:kern w:val="2"/>
      <w:sz w:val="21"/>
      <w:lang w:val="en-US" w:eastAsia="zh-CN" w:bidi="ar-SA"/>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1"/>
    <w:pPr>
      <w:spacing w:before="161"/>
      <w:ind w:left="954"/>
    </w:pPr>
    <w:rPr>
      <w:rFonts w:ascii="宋体" w:hAnsi="宋体" w:eastAsia="宋体" w:cs="宋体"/>
      <w:sz w:val="24"/>
      <w:szCs w:val="24"/>
      <w:lang w:val="zh-CN" w:eastAsia="zh-CN" w:bidi="zh-CN"/>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widowControl/>
      <w:overflowPunct w:val="0"/>
      <w:spacing w:line="420" w:lineRule="exact"/>
      <w:jc w:val="center"/>
    </w:pPr>
    <w:rPr>
      <w:rFonts w:eastAsia="黑体"/>
      <w:b/>
      <w:sz w:val="28"/>
      <w:lang w:val="en-GB"/>
    </w:rPr>
  </w:style>
  <w:style w:type="paragraph" w:styleId="22">
    <w:name w:val="Body Text First Indent 2"/>
    <w:basedOn w:val="15"/>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1931" w:hanging="525"/>
    </w:pPr>
    <w:rPr>
      <w:rFonts w:ascii="宋体" w:hAnsi="宋体" w:eastAsia="宋体" w:cs="宋体"/>
      <w:lang w:val="zh-CN" w:eastAsia="zh-CN" w:bidi="zh-CN"/>
    </w:rPr>
  </w:style>
  <w:style w:type="paragraph" w:customStyle="1" w:styleId="29">
    <w:name w:val="Table Paragraph"/>
    <w:basedOn w:val="1"/>
    <w:qFormat/>
    <w:uiPriority w:val="1"/>
    <w:rPr>
      <w:rFonts w:ascii="宋体" w:hAnsi="宋体" w:eastAsia="宋体" w:cs="宋体"/>
      <w:lang w:val="zh-CN" w:eastAsia="zh-CN" w:bidi="zh-CN"/>
    </w:rPr>
  </w:style>
  <w:style w:type="character" w:customStyle="1" w:styleId="30">
    <w:name w:val="标题 1 Char"/>
    <w:link w:val="3"/>
    <w:qFormat/>
    <w:uiPriority w:val="1"/>
    <w:rPr>
      <w:rFonts w:ascii="宋体" w:hAnsi="宋体" w:eastAsia="宋体" w:cs="宋体"/>
      <w:b/>
      <w:bCs/>
      <w:sz w:val="32"/>
      <w:szCs w:val="32"/>
      <w:lang w:val="zh-CN" w:eastAsia="zh-CN" w:bidi="zh-CN"/>
    </w:rPr>
  </w:style>
  <w:style w:type="character" w:customStyle="1" w:styleId="31">
    <w:name w:val="标题 4 Char"/>
    <w:link w:val="6"/>
    <w:qFormat/>
    <w:uiPriority w:val="1"/>
    <w:rPr>
      <w:rFonts w:ascii="宋体" w:hAnsi="宋体" w:eastAsia="宋体" w:cs="宋体"/>
      <w:sz w:val="30"/>
      <w:szCs w:val="30"/>
      <w:lang w:val="zh-CN" w:eastAsia="zh-CN" w:bidi="zh-CN"/>
    </w:rPr>
  </w:style>
  <w:style w:type="paragraph" w:customStyle="1" w:styleId="32">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35">
    <w:name w:val="ca-2"/>
    <w:qFormat/>
    <w:uiPriority w:val="0"/>
    <w:rPr>
      <w:rFonts w:cs="Times New Roman"/>
    </w:rPr>
  </w:style>
  <w:style w:type="character" w:customStyle="1" w:styleId="36">
    <w:name w:val="apple-converted-space"/>
    <w:qFormat/>
    <w:uiPriority w:val="0"/>
    <w:rPr>
      <w:rFonts w:hint="default" w:ascii="Times New Roman" w:hAnsi="Times New Roman" w:cs="Times New Roman"/>
    </w:rPr>
  </w:style>
  <w:style w:type="paragraph" w:customStyle="1" w:styleId="37">
    <w:name w:val="WPSOffice手动目录 1"/>
    <w:qFormat/>
    <w:uiPriority w:val="0"/>
    <w:pPr>
      <w:ind w:leftChars="0"/>
    </w:pPr>
    <w:rPr>
      <w:rFonts w:asciiTheme="minorHAnsi" w:hAnsiTheme="minorHAnsi" w:eastAsiaTheme="minorHAnsi" w:cstheme="minorBidi"/>
      <w:sz w:val="20"/>
      <w:szCs w:val="20"/>
    </w:rPr>
  </w:style>
  <w:style w:type="paragraph" w:customStyle="1" w:styleId="38">
    <w:name w:val="纯文本1"/>
    <w:basedOn w:val="1"/>
    <w:qFormat/>
    <w:uiPriority w:val="0"/>
    <w:rPr>
      <w:rFonts w:ascii="宋体" w:hAnsi="Courier New"/>
      <w:kern w:val="0"/>
      <w:sz w:val="20"/>
      <w:szCs w:val="20"/>
    </w:rPr>
  </w:style>
  <w:style w:type="paragraph" w:customStyle="1" w:styleId="3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109</Pages>
  <Words>55687</Words>
  <Characters>58255</Characters>
  <TotalTime>8</TotalTime>
  <ScaleCrop>false</ScaleCrop>
  <LinksUpToDate>false</LinksUpToDate>
  <CharactersWithSpaces>64838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2021-03-19T08:24:00Z</dcterms:created>
  <dc:creator>New User</dc:creator>
  <cp:lastModifiedBy>Rick</cp:lastModifiedBy>
  <cp:lastPrinted>2021-04-07T06:13:00Z</cp:lastPrinted>
  <dcterms:modified xsi:type="dcterms:W3CDTF">2022-08-23T03:32:41Z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WPS 文字</vt:lpwstr>
  </property>
  <property fmtid="{D5CDD505-2E9C-101B-9397-08002B2CF9AE}" pid="4" name="LastSaved">
    <vt:filetime>2021-03-19T00:00:00Z</vt:filetime>
  </property>
  <property fmtid="{D5CDD505-2E9C-101B-9397-08002B2CF9AE}" pid="5" name="KSOProductBuildVer">
    <vt:lpwstr>2052-11.1.0.12302</vt:lpwstr>
  </property>
  <property fmtid="{D5CDD505-2E9C-101B-9397-08002B2CF9AE}" pid="6" name="ICV">
    <vt:lpwstr>8AD17B8ABFF5438EA318C54427164A0A</vt:lpwstr>
  </property>
</Properties>
</file>